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384"/>
        <w:gridCol w:w="7796"/>
      </w:tblGrid>
      <w:tr w:rsidR="001F35F4" w:rsidRPr="007120D0" w14:paraId="21966C90" w14:textId="77777777">
        <w:tc>
          <w:tcPr>
            <w:tcW w:w="1384" w:type="dxa"/>
          </w:tcPr>
          <w:p w14:paraId="21966C8E" w14:textId="77777777" w:rsidR="001F35F4" w:rsidRPr="007120D0" w:rsidRDefault="001F35F4">
            <w:pPr>
              <w:spacing w:before="120" w:after="120"/>
              <w:jc w:val="both"/>
              <w:rPr>
                <w:b/>
                <w:color w:val="000000"/>
                <w:sz w:val="28"/>
              </w:rPr>
            </w:pPr>
            <w:r w:rsidRPr="007120D0">
              <w:rPr>
                <w:b/>
                <w:color w:val="000000"/>
                <w:sz w:val="28"/>
              </w:rPr>
              <w:t>I</w:t>
            </w:r>
            <w:bookmarkStart w:id="0" w:name="Text1"/>
            <w:r w:rsidRPr="007120D0">
              <w:rPr>
                <w:b/>
                <w:color w:val="000000"/>
                <w:sz w:val="28"/>
              </w:rPr>
              <w:t>TEM</w:t>
            </w:r>
          </w:p>
        </w:tc>
        <w:bookmarkEnd w:id="0"/>
        <w:tc>
          <w:tcPr>
            <w:tcW w:w="7796" w:type="dxa"/>
          </w:tcPr>
          <w:p w14:paraId="21966C8F" w14:textId="77777777" w:rsidR="001F35F4" w:rsidRPr="007120D0" w:rsidRDefault="00645E27">
            <w:pPr>
              <w:pStyle w:val="Heading3"/>
              <w:keepNext w:val="0"/>
              <w:numPr>
                <w:ilvl w:val="0"/>
                <w:numId w:val="0"/>
              </w:numPr>
              <w:spacing w:before="120" w:after="120"/>
              <w:ind w:right="317"/>
              <w:jc w:val="center"/>
              <w:rPr>
                <w:b/>
                <w:color w:val="000000"/>
                <w:sz w:val="28"/>
              </w:rPr>
            </w:pPr>
            <w:r>
              <w:rPr>
                <w:b/>
                <w:color w:val="000000"/>
                <w:sz w:val="28"/>
              </w:rPr>
              <w:t>Complaints Handling</w:t>
            </w:r>
          </w:p>
        </w:tc>
      </w:tr>
    </w:tbl>
    <w:p w14:paraId="21966C91" w14:textId="77777777" w:rsidR="001F35F4" w:rsidRPr="007120D0" w:rsidRDefault="001F35F4">
      <w:pPr>
        <w:pStyle w:val="BodyText"/>
        <w:rPr>
          <w:b/>
          <w:color w:val="000000"/>
        </w:rPr>
      </w:pPr>
    </w:p>
    <w:p w14:paraId="21966C92" w14:textId="77777777" w:rsidR="001F35F4" w:rsidRPr="007120D0" w:rsidRDefault="001F35F4">
      <w:pPr>
        <w:pStyle w:val="BodyText"/>
        <w:rPr>
          <w:b/>
          <w:color w:val="000000"/>
        </w:rPr>
      </w:pPr>
    </w:p>
    <w:p w14:paraId="21966C93" w14:textId="77777777" w:rsidR="001F35F4" w:rsidRPr="007120D0" w:rsidRDefault="001F35F4">
      <w:pPr>
        <w:pStyle w:val="BodyText"/>
        <w:rPr>
          <w:color w:val="000000"/>
        </w:rPr>
      </w:pPr>
      <w:r w:rsidRPr="007120D0">
        <w:rPr>
          <w:color w:val="000000"/>
        </w:rPr>
        <w:t xml:space="preserve">Report of the </w:t>
      </w:r>
      <w:r w:rsidR="00645E27">
        <w:rPr>
          <w:color w:val="000000"/>
        </w:rPr>
        <w:t>Chief Executive</w:t>
      </w:r>
      <w:r w:rsidR="00985835">
        <w:rPr>
          <w:color w:val="000000"/>
        </w:rPr>
        <w:t xml:space="preserve">                      (Portfolio:    </w:t>
      </w:r>
      <w:r w:rsidR="00645E27">
        <w:rPr>
          <w:color w:val="000000"/>
        </w:rPr>
        <w:t>Corporate</w:t>
      </w:r>
      <w:r w:rsidR="00985835">
        <w:rPr>
          <w:color w:val="000000"/>
        </w:rPr>
        <w:t>)</w:t>
      </w:r>
      <w:r w:rsidR="008D39A6">
        <w:rPr>
          <w:color w:val="000000"/>
        </w:rPr>
        <w:t xml:space="preserve">            </w:t>
      </w:r>
      <w:r w:rsidR="00013852">
        <w:rPr>
          <w:color w:val="000000"/>
        </w:rPr>
        <w:t xml:space="preserve">        </w:t>
      </w:r>
      <w:r w:rsidR="008D39A6">
        <w:rPr>
          <w:color w:val="000000"/>
        </w:rPr>
        <w:t xml:space="preserve"> </w:t>
      </w:r>
    </w:p>
    <w:p w14:paraId="21966C94" w14:textId="77777777" w:rsidR="001F35F4" w:rsidRPr="007120D0" w:rsidRDefault="001F35F4">
      <w:pPr>
        <w:pStyle w:val="BodyText"/>
        <w:rPr>
          <w:b/>
          <w:color w:val="000000"/>
        </w:rPr>
      </w:pPr>
    </w:p>
    <w:p w14:paraId="21966C95" w14:textId="77777777" w:rsidR="001F35F4" w:rsidRPr="007120D0" w:rsidRDefault="001F35F4">
      <w:pPr>
        <w:pStyle w:val="BodyText"/>
        <w:rPr>
          <w:b/>
          <w:color w:val="000000"/>
        </w:rPr>
      </w:pPr>
    </w:p>
    <w:p w14:paraId="21966C96" w14:textId="77777777" w:rsidR="001F35F4" w:rsidRPr="007120D0" w:rsidRDefault="001F35F4">
      <w:pPr>
        <w:spacing w:before="0"/>
        <w:jc w:val="both"/>
        <w:rPr>
          <w:b/>
          <w:color w:val="000000"/>
          <w:sz w:val="28"/>
        </w:rPr>
      </w:pPr>
      <w:r w:rsidRPr="007120D0">
        <w:rPr>
          <w:b/>
          <w:color w:val="000000"/>
          <w:sz w:val="28"/>
        </w:rPr>
        <w:t xml:space="preserve">Recommended: </w:t>
      </w:r>
    </w:p>
    <w:p w14:paraId="21966C97" w14:textId="77777777" w:rsidR="00284FC1" w:rsidRPr="007120D0" w:rsidRDefault="00645E27" w:rsidP="00284FC1">
      <w:pPr>
        <w:pStyle w:val="BodyText"/>
        <w:numPr>
          <w:ilvl w:val="0"/>
          <w:numId w:val="25"/>
        </w:numPr>
        <w:spacing w:before="120"/>
        <w:rPr>
          <w:b/>
          <w:color w:val="000000"/>
        </w:rPr>
      </w:pPr>
      <w:r>
        <w:rPr>
          <w:b/>
          <w:color w:val="000000"/>
        </w:rPr>
        <w:t>That the annual report on complaints handling be noted.</w:t>
      </w:r>
    </w:p>
    <w:p w14:paraId="21966C98" w14:textId="77777777" w:rsidR="001F35F4" w:rsidRPr="007120D0" w:rsidRDefault="001F35F4">
      <w:pPr>
        <w:pStyle w:val="BodyText"/>
        <w:rPr>
          <w:b/>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1F35F4" w:rsidRPr="007120D0" w14:paraId="21966C9C" w14:textId="77777777">
        <w:tc>
          <w:tcPr>
            <w:tcW w:w="9180" w:type="dxa"/>
          </w:tcPr>
          <w:p w14:paraId="21966C99" w14:textId="77777777" w:rsidR="001F35F4" w:rsidRPr="007120D0" w:rsidRDefault="001F35F4">
            <w:pPr>
              <w:pStyle w:val="BodyText"/>
              <w:spacing w:before="120" w:after="120"/>
              <w:rPr>
                <w:color w:val="000000"/>
              </w:rPr>
            </w:pPr>
            <w:r w:rsidRPr="007120D0">
              <w:rPr>
                <w:color w:val="000000"/>
              </w:rPr>
              <w:t xml:space="preserve">SUMMARY: </w:t>
            </w:r>
          </w:p>
          <w:p w14:paraId="21966C9A" w14:textId="281A4D7F" w:rsidR="001F35F4" w:rsidRDefault="00645E27">
            <w:pPr>
              <w:pStyle w:val="BodyText"/>
              <w:numPr>
                <w:ilvl w:val="0"/>
                <w:numId w:val="18"/>
              </w:numPr>
              <w:spacing w:before="120" w:after="120"/>
              <w:rPr>
                <w:color w:val="000000"/>
              </w:rPr>
            </w:pPr>
            <w:r>
              <w:rPr>
                <w:color w:val="000000"/>
              </w:rPr>
              <w:t xml:space="preserve">The Chief Executive and Services </w:t>
            </w:r>
            <w:r w:rsidR="00EE7328">
              <w:rPr>
                <w:color w:val="000000"/>
              </w:rPr>
              <w:t xml:space="preserve">together dealt with </w:t>
            </w:r>
            <w:r w:rsidR="00135FDE">
              <w:rPr>
                <w:color w:val="000000"/>
              </w:rPr>
              <w:t>260</w:t>
            </w:r>
            <w:r>
              <w:rPr>
                <w:color w:val="000000"/>
              </w:rPr>
              <w:t xml:space="preserve"> complaints under the Council’s fo</w:t>
            </w:r>
            <w:r w:rsidR="00135FDE">
              <w:rPr>
                <w:color w:val="000000"/>
              </w:rPr>
              <w:t>rmal procedure, in the year 2015/16.</w:t>
            </w:r>
          </w:p>
          <w:p w14:paraId="21966C9B" w14:textId="46674190" w:rsidR="00C11E48" w:rsidRPr="00757984" w:rsidRDefault="00645E27" w:rsidP="00757984">
            <w:pPr>
              <w:pStyle w:val="BodyText"/>
              <w:numPr>
                <w:ilvl w:val="0"/>
                <w:numId w:val="18"/>
              </w:numPr>
              <w:spacing w:before="120" w:after="120"/>
              <w:rPr>
                <w:color w:val="000000"/>
              </w:rPr>
            </w:pPr>
            <w:r>
              <w:rPr>
                <w:color w:val="000000"/>
              </w:rPr>
              <w:t>The Local Government Ombudsman (LGO) ma</w:t>
            </w:r>
            <w:r w:rsidR="00135FDE">
              <w:rPr>
                <w:color w:val="000000"/>
              </w:rPr>
              <w:t>de preliminary enquiries about 2</w:t>
            </w:r>
            <w:r>
              <w:rPr>
                <w:color w:val="000000"/>
              </w:rPr>
              <w:t xml:space="preserve"> complaints relating to TVBC </w:t>
            </w:r>
            <w:r w:rsidR="00135FDE">
              <w:rPr>
                <w:color w:val="000000"/>
              </w:rPr>
              <w:t xml:space="preserve">and began an investigation into one of these </w:t>
            </w:r>
            <w:r>
              <w:rPr>
                <w:color w:val="000000"/>
              </w:rPr>
              <w:t xml:space="preserve">for the year </w:t>
            </w:r>
            <w:r w:rsidR="00992A8B">
              <w:rPr>
                <w:color w:val="000000"/>
              </w:rPr>
              <w:t>ended 31 March 2016</w:t>
            </w:r>
            <w:r>
              <w:rPr>
                <w:color w:val="000000"/>
              </w:rPr>
              <w:t>.</w:t>
            </w:r>
          </w:p>
        </w:tc>
      </w:tr>
    </w:tbl>
    <w:p w14:paraId="21966C9D" w14:textId="77777777" w:rsidR="001F35F4" w:rsidRPr="007120D0" w:rsidRDefault="001F35F4">
      <w:pPr>
        <w:pStyle w:val="BodyText"/>
        <w:rPr>
          <w:b/>
          <w:color w:val="000000"/>
        </w:rPr>
      </w:pPr>
    </w:p>
    <w:p w14:paraId="21966C9E" w14:textId="7CEAED61" w:rsidR="00645E27" w:rsidRDefault="001F35F4" w:rsidP="00645E27">
      <w:pPr>
        <w:pStyle w:val="Heading1"/>
        <w:keepNext w:val="0"/>
        <w:numPr>
          <w:ilvl w:val="0"/>
          <w:numId w:val="12"/>
        </w:numPr>
        <w:jc w:val="both"/>
        <w:rPr>
          <w:b w:val="0"/>
          <w:color w:val="000000"/>
        </w:rPr>
      </w:pPr>
      <w:r w:rsidRPr="00645E27">
        <w:rPr>
          <w:color w:val="000000"/>
        </w:rPr>
        <w:t xml:space="preserve">Background </w:t>
      </w:r>
      <w:r w:rsidR="00645E27">
        <w:rPr>
          <w:color w:val="000000"/>
        </w:rPr>
        <w:br/>
      </w:r>
      <w:r w:rsidR="00645E27">
        <w:rPr>
          <w:color w:val="000000"/>
        </w:rPr>
        <w:br/>
      </w:r>
      <w:r w:rsidR="00645E27" w:rsidRPr="00645E27">
        <w:rPr>
          <w:b w:val="0"/>
          <w:color w:val="000000"/>
        </w:rPr>
        <w:t xml:space="preserve">To facilitate the periodic monitoring of complaints and review by this Committee each year, Services are required to prepare an annual summary of complaints dealt with under the Council’s formalised procedure </w:t>
      </w:r>
      <w:r w:rsidR="00135FDE">
        <w:rPr>
          <w:b w:val="0"/>
          <w:color w:val="000000"/>
        </w:rPr>
        <w:t>(the year runs from 1 April 2015 to 31 March 2016</w:t>
      </w:r>
      <w:r w:rsidR="00645E27" w:rsidRPr="00645E27">
        <w:rPr>
          <w:b w:val="0"/>
          <w:color w:val="000000"/>
        </w:rPr>
        <w:t>).</w:t>
      </w:r>
    </w:p>
    <w:p w14:paraId="21966C9F" w14:textId="77777777" w:rsidR="00D44199" w:rsidRPr="00D44199" w:rsidRDefault="00D44199" w:rsidP="00D44199">
      <w:pPr>
        <w:pStyle w:val="Heading2"/>
      </w:pPr>
      <w:r w:rsidRPr="00D44199">
        <w:rPr>
          <w:color w:val="000000"/>
          <w:kern w:val="28"/>
        </w:rPr>
        <w:t>A complaint is defined within the Council as: “</w:t>
      </w:r>
      <w:r w:rsidRPr="00D44199">
        <w:rPr>
          <w:i/>
          <w:color w:val="000000"/>
          <w:kern w:val="28"/>
        </w:rPr>
        <w:t>an expression of dissatisfaction, however made, about th</w:t>
      </w:r>
      <w:r w:rsidR="00160824">
        <w:rPr>
          <w:i/>
          <w:color w:val="000000"/>
          <w:kern w:val="28"/>
        </w:rPr>
        <w:t>e standard of service, action or</w:t>
      </w:r>
      <w:r w:rsidRPr="00D44199">
        <w:rPr>
          <w:i/>
          <w:color w:val="000000"/>
          <w:kern w:val="28"/>
        </w:rPr>
        <w:t xml:space="preserve"> lack of action by the Council, or its staff, affecting an individual customer or group of customers</w:t>
      </w:r>
      <w:r w:rsidRPr="00D44199">
        <w:rPr>
          <w:color w:val="000000"/>
          <w:kern w:val="28"/>
        </w:rPr>
        <w:t>.”</w:t>
      </w:r>
    </w:p>
    <w:p w14:paraId="21966CA0" w14:textId="77777777" w:rsidR="00D44199" w:rsidRPr="00D44199" w:rsidRDefault="00D44199" w:rsidP="00D44199">
      <w:pPr>
        <w:pStyle w:val="Heading2"/>
        <w:numPr>
          <w:ilvl w:val="0"/>
          <w:numId w:val="0"/>
        </w:numPr>
        <w:ind w:left="720"/>
      </w:pPr>
      <w:r>
        <w:rPr>
          <w:color w:val="000000"/>
          <w:kern w:val="28"/>
        </w:rPr>
        <w:t>Complaints recorded under the formal procedure (and dealt with in this summary report) do no</w:t>
      </w:r>
      <w:r w:rsidR="00160824">
        <w:rPr>
          <w:color w:val="000000"/>
          <w:kern w:val="28"/>
        </w:rPr>
        <w:t>t</w:t>
      </w:r>
      <w:r>
        <w:rPr>
          <w:color w:val="000000"/>
          <w:kern w:val="28"/>
        </w:rPr>
        <w:t xml:space="preserve"> include those ‘first time’ representations which were effectively requests for a service and dealt with as such.  Accordingly, a new report of a missed bin, or a broken swing, for example, would not be registered and dealt with as a complaint, but as a request for action.  Of course, in the event that we fa</w:t>
      </w:r>
      <w:r w:rsidR="00160824">
        <w:rPr>
          <w:color w:val="000000"/>
          <w:kern w:val="28"/>
        </w:rPr>
        <w:t>iled to respond to the ‘request</w:t>
      </w:r>
      <w:r>
        <w:rPr>
          <w:color w:val="000000"/>
          <w:kern w:val="28"/>
        </w:rPr>
        <w:t>’ appropriately, then that may generate a complaint.</w:t>
      </w:r>
      <w:r w:rsidRPr="00D44199">
        <w:rPr>
          <w:color w:val="000000"/>
        </w:rPr>
        <w:t xml:space="preserve">                     </w:t>
      </w:r>
    </w:p>
    <w:p w14:paraId="21966CA1" w14:textId="36173698" w:rsidR="001C0E05" w:rsidRDefault="00135FDE" w:rsidP="00D44199">
      <w:pPr>
        <w:pStyle w:val="Heading1"/>
        <w:keepNext w:val="0"/>
        <w:jc w:val="both"/>
        <w:rPr>
          <w:b w:val="0"/>
          <w:color w:val="000000"/>
        </w:rPr>
      </w:pPr>
      <w:r>
        <w:rPr>
          <w:color w:val="000000"/>
        </w:rPr>
        <w:t>Complaints 2015</w:t>
      </w:r>
      <w:r w:rsidR="00D44199">
        <w:rPr>
          <w:color w:val="000000"/>
        </w:rPr>
        <w:t>/1</w:t>
      </w:r>
      <w:r>
        <w:rPr>
          <w:color w:val="000000"/>
        </w:rPr>
        <w:t>6</w:t>
      </w:r>
    </w:p>
    <w:p w14:paraId="21966CA2" w14:textId="494BEE26" w:rsidR="00235025" w:rsidRDefault="00D44199" w:rsidP="00235025">
      <w:pPr>
        <w:pStyle w:val="Heading2"/>
      </w:pPr>
      <w:r>
        <w:t>In</w:t>
      </w:r>
      <w:r w:rsidR="00135FDE">
        <w:t xml:space="preserve"> the year 2015</w:t>
      </w:r>
      <w:r w:rsidR="00EE7328">
        <w:t>/</w:t>
      </w:r>
      <w:r w:rsidR="00135FDE">
        <w:t>16 there were 260</w:t>
      </w:r>
      <w:r>
        <w:t xml:space="preserve"> service level complaints (those dealt with by more than one service at the same time, and those cases where multiple people complained about the same subject, are counted as</w:t>
      </w:r>
      <w:r w:rsidR="00135FDE">
        <w:t xml:space="preserve"> one complaint).  From these 260 complaints 8</w:t>
      </w:r>
      <w:r>
        <w:t xml:space="preserve"> were escalated to </w:t>
      </w:r>
      <w:r w:rsidR="00135FDE">
        <w:t>the Chief Executive and 2</w:t>
      </w:r>
      <w:r>
        <w:t xml:space="preserve"> were the subject of LGO enquiries.</w:t>
      </w:r>
    </w:p>
    <w:p w14:paraId="21966CA3" w14:textId="77777777" w:rsidR="00235025" w:rsidRDefault="00235025">
      <w:pPr>
        <w:spacing w:before="0"/>
      </w:pPr>
      <w:r>
        <w:br w:type="page"/>
      </w:r>
    </w:p>
    <w:p w14:paraId="21966CA4" w14:textId="73AC5E49" w:rsidR="00235025" w:rsidRDefault="00235025" w:rsidP="00235025">
      <w:pPr>
        <w:pStyle w:val="Heading2"/>
        <w:numPr>
          <w:ilvl w:val="0"/>
          <w:numId w:val="0"/>
        </w:numPr>
        <w:ind w:left="720"/>
      </w:pPr>
      <w:r>
        <w:lastRenderedPageBreak/>
        <w:t xml:space="preserve">This year sees a </w:t>
      </w:r>
      <w:r w:rsidR="00917B19">
        <w:t xml:space="preserve">small </w:t>
      </w:r>
      <w:r w:rsidR="00135FDE">
        <w:t>decline</w:t>
      </w:r>
      <w:r>
        <w:t xml:space="preserve"> in the n</w:t>
      </w:r>
      <w:r w:rsidR="00135FDE">
        <w:t>umber of complaints received, a decrease of 7 from the previous year (267 in 2014/15</w:t>
      </w:r>
      <w:r>
        <w:t xml:space="preserve">).  </w:t>
      </w:r>
    </w:p>
    <w:p w14:paraId="21966CA5" w14:textId="4A895C86" w:rsidR="009765DF" w:rsidRDefault="0014549A" w:rsidP="00235025">
      <w:pPr>
        <w:pStyle w:val="Heading2"/>
        <w:numPr>
          <w:ilvl w:val="0"/>
          <w:numId w:val="0"/>
        </w:numPr>
        <w:ind w:left="720"/>
      </w:pPr>
      <w:r>
        <w:rPr>
          <w:noProof/>
          <w:lang w:eastAsia="en-GB"/>
        </w:rPr>
        <w:drawing>
          <wp:inline distT="0" distB="0" distL="0" distR="0" wp14:anchorId="12AF61F1" wp14:editId="6D4D052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33DF16" w14:textId="04B7FE8F" w:rsidR="00D227DF" w:rsidRDefault="00D227DF" w:rsidP="00D227DF">
      <w:pPr>
        <w:pStyle w:val="Heading2"/>
        <w:numPr>
          <w:ilvl w:val="0"/>
          <w:numId w:val="0"/>
        </w:numPr>
        <w:ind w:left="720"/>
      </w:pPr>
      <w:r>
        <w:t>Customer Service unit figures for the year indicate that they received over 124,000 telephone calls and just over 20,000 face to face contacts. In addition to this the website received just over 237,000 unique visitors for 2015/16. The number of telephone contacts has significantly decreased from 140,000 in 2014/15. We are also expecting the number of face to face contacts to decrease, due to the new self serve processes being put in place. This is part of the current channel shift that is happening, with customers moving toward contacting the council electronically. Overall, the total number of contacts for 2015/16 has reduced from the previous year: 395,000 in 2014/15 to 381,000 in 2015/16.</w:t>
      </w:r>
    </w:p>
    <w:p w14:paraId="21966CA7" w14:textId="5A917A77" w:rsidR="009765DF" w:rsidRDefault="0014549A" w:rsidP="00235025">
      <w:pPr>
        <w:pStyle w:val="Heading2"/>
        <w:numPr>
          <w:ilvl w:val="0"/>
          <w:numId w:val="0"/>
        </w:numPr>
        <w:ind w:left="720"/>
      </w:pPr>
      <w:r>
        <w:rPr>
          <w:noProof/>
          <w:lang w:eastAsia="en-GB"/>
        </w:rPr>
        <w:drawing>
          <wp:inline distT="0" distB="0" distL="0" distR="0" wp14:anchorId="1A14189A" wp14:editId="1000789B">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966CA8" w14:textId="77777777" w:rsidR="00235025" w:rsidRDefault="00235025" w:rsidP="00235025">
      <w:pPr>
        <w:pStyle w:val="Heading2"/>
        <w:numPr>
          <w:ilvl w:val="0"/>
          <w:numId w:val="0"/>
        </w:numPr>
        <w:ind w:left="720"/>
      </w:pPr>
      <w:r>
        <w:t>The number of complaints continues to account for significantly less than 1% of overall transactions, and falls well within accepted customer service industry standards.</w:t>
      </w:r>
    </w:p>
    <w:p w14:paraId="21966CA9" w14:textId="77777777" w:rsidR="00A33FD6" w:rsidRDefault="00A33FD6" w:rsidP="00235025">
      <w:pPr>
        <w:pStyle w:val="Heading2"/>
        <w:numPr>
          <w:ilvl w:val="0"/>
          <w:numId w:val="0"/>
        </w:numPr>
        <w:ind w:left="720"/>
      </w:pPr>
    </w:p>
    <w:p w14:paraId="3B3AFBE9" w14:textId="77777777" w:rsidR="002248A6" w:rsidRDefault="002248A6" w:rsidP="00235025">
      <w:pPr>
        <w:pStyle w:val="Heading2"/>
        <w:numPr>
          <w:ilvl w:val="0"/>
          <w:numId w:val="0"/>
        </w:numPr>
        <w:ind w:left="720"/>
      </w:pPr>
    </w:p>
    <w:p w14:paraId="60DEDB6E" w14:textId="77777777" w:rsidR="002248A6" w:rsidRDefault="002248A6" w:rsidP="00235025">
      <w:pPr>
        <w:pStyle w:val="Heading2"/>
        <w:numPr>
          <w:ilvl w:val="0"/>
          <w:numId w:val="0"/>
        </w:num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235025" w:rsidRPr="00235025" w14:paraId="21966CAC" w14:textId="77777777" w:rsidTr="00DC0D3F">
        <w:tc>
          <w:tcPr>
            <w:tcW w:w="4621" w:type="dxa"/>
            <w:shd w:val="clear" w:color="auto" w:fill="auto"/>
          </w:tcPr>
          <w:p w14:paraId="21966CAA" w14:textId="77777777" w:rsidR="00235025" w:rsidRPr="00235025" w:rsidRDefault="00235025" w:rsidP="00235025">
            <w:pPr>
              <w:pStyle w:val="Heading2"/>
              <w:numPr>
                <w:ilvl w:val="0"/>
                <w:numId w:val="0"/>
              </w:numPr>
              <w:ind w:left="720"/>
              <w:rPr>
                <w:b/>
              </w:rPr>
            </w:pPr>
            <w:r w:rsidRPr="00235025">
              <w:rPr>
                <w:b/>
              </w:rPr>
              <w:t>Stage of complaints process</w:t>
            </w:r>
          </w:p>
        </w:tc>
        <w:tc>
          <w:tcPr>
            <w:tcW w:w="4621" w:type="dxa"/>
            <w:shd w:val="clear" w:color="auto" w:fill="auto"/>
          </w:tcPr>
          <w:p w14:paraId="21966CAB" w14:textId="77777777" w:rsidR="00235025" w:rsidRPr="00235025" w:rsidRDefault="00235025" w:rsidP="00235025">
            <w:pPr>
              <w:pStyle w:val="Heading2"/>
              <w:numPr>
                <w:ilvl w:val="0"/>
                <w:numId w:val="0"/>
              </w:numPr>
              <w:ind w:left="720"/>
              <w:rPr>
                <w:b/>
              </w:rPr>
            </w:pPr>
            <w:r w:rsidRPr="00235025">
              <w:rPr>
                <w:b/>
              </w:rPr>
              <w:t>Number of complaints</w:t>
            </w:r>
          </w:p>
        </w:tc>
      </w:tr>
      <w:tr w:rsidR="00235025" w:rsidRPr="00235025" w14:paraId="21966CAF" w14:textId="77777777" w:rsidTr="00DC0D3F">
        <w:tc>
          <w:tcPr>
            <w:tcW w:w="4621" w:type="dxa"/>
            <w:shd w:val="clear" w:color="auto" w:fill="auto"/>
          </w:tcPr>
          <w:p w14:paraId="21966CAD" w14:textId="77777777" w:rsidR="00235025" w:rsidRPr="00235025" w:rsidRDefault="00235025" w:rsidP="00235025">
            <w:pPr>
              <w:pStyle w:val="Heading2"/>
              <w:numPr>
                <w:ilvl w:val="0"/>
                <w:numId w:val="0"/>
              </w:numPr>
              <w:ind w:left="720"/>
            </w:pPr>
            <w:r w:rsidRPr="00235025">
              <w:t>Service level</w:t>
            </w:r>
          </w:p>
        </w:tc>
        <w:tc>
          <w:tcPr>
            <w:tcW w:w="4621" w:type="dxa"/>
            <w:shd w:val="clear" w:color="auto" w:fill="auto"/>
          </w:tcPr>
          <w:p w14:paraId="21966CAE" w14:textId="54727304" w:rsidR="00235025" w:rsidRPr="00235025" w:rsidRDefault="00235025" w:rsidP="00235025">
            <w:pPr>
              <w:pStyle w:val="Heading2"/>
              <w:numPr>
                <w:ilvl w:val="0"/>
                <w:numId w:val="0"/>
              </w:numPr>
              <w:ind w:left="720"/>
            </w:pPr>
            <w:r>
              <w:t>26</w:t>
            </w:r>
            <w:r w:rsidR="00FC09AA">
              <w:t>0</w:t>
            </w:r>
          </w:p>
        </w:tc>
      </w:tr>
      <w:tr w:rsidR="00235025" w:rsidRPr="00235025" w14:paraId="21966CB2" w14:textId="77777777" w:rsidTr="00DC0D3F">
        <w:tc>
          <w:tcPr>
            <w:tcW w:w="4621" w:type="dxa"/>
            <w:shd w:val="clear" w:color="auto" w:fill="auto"/>
          </w:tcPr>
          <w:p w14:paraId="21966CB0" w14:textId="77777777" w:rsidR="00235025" w:rsidRPr="00235025" w:rsidRDefault="00235025" w:rsidP="00235025">
            <w:pPr>
              <w:pStyle w:val="Heading2"/>
              <w:numPr>
                <w:ilvl w:val="0"/>
                <w:numId w:val="0"/>
              </w:numPr>
              <w:ind w:left="720"/>
            </w:pPr>
            <w:r w:rsidRPr="00235025">
              <w:t xml:space="preserve">Chief Executive </w:t>
            </w:r>
            <w:proofErr w:type="gramStart"/>
            <w:r w:rsidRPr="00235025">
              <w:t>escalations</w:t>
            </w:r>
            <w:proofErr w:type="gramEnd"/>
          </w:p>
        </w:tc>
        <w:tc>
          <w:tcPr>
            <w:tcW w:w="4621" w:type="dxa"/>
            <w:shd w:val="clear" w:color="auto" w:fill="auto"/>
          </w:tcPr>
          <w:p w14:paraId="21966CB1" w14:textId="07E8EC46" w:rsidR="00235025" w:rsidRPr="00235025" w:rsidRDefault="00FC09AA" w:rsidP="00235025">
            <w:pPr>
              <w:pStyle w:val="Heading2"/>
              <w:numPr>
                <w:ilvl w:val="0"/>
                <w:numId w:val="0"/>
              </w:numPr>
              <w:ind w:left="720"/>
            </w:pPr>
            <w:r>
              <w:t>8</w:t>
            </w:r>
            <w:r w:rsidR="00235025" w:rsidRPr="00235025">
              <w:t xml:space="preserve"> (from the </w:t>
            </w:r>
            <w:r w:rsidR="00235025">
              <w:t>26</w:t>
            </w:r>
            <w:r>
              <w:t>0</w:t>
            </w:r>
            <w:r w:rsidR="00235025" w:rsidRPr="00235025">
              <w:t xml:space="preserve"> above)</w:t>
            </w:r>
          </w:p>
        </w:tc>
      </w:tr>
      <w:tr w:rsidR="00235025" w:rsidRPr="00235025" w14:paraId="21966CB5" w14:textId="77777777" w:rsidTr="00DC0D3F">
        <w:tc>
          <w:tcPr>
            <w:tcW w:w="4621" w:type="dxa"/>
            <w:shd w:val="clear" w:color="auto" w:fill="auto"/>
          </w:tcPr>
          <w:p w14:paraId="21966CB3" w14:textId="77777777" w:rsidR="00235025" w:rsidRPr="00235025" w:rsidRDefault="00235025" w:rsidP="00235025">
            <w:pPr>
              <w:pStyle w:val="Heading2"/>
              <w:numPr>
                <w:ilvl w:val="0"/>
                <w:numId w:val="0"/>
              </w:numPr>
              <w:ind w:left="720"/>
            </w:pPr>
            <w:r w:rsidRPr="00235025">
              <w:t>Members’ Panel</w:t>
            </w:r>
          </w:p>
        </w:tc>
        <w:tc>
          <w:tcPr>
            <w:tcW w:w="4621" w:type="dxa"/>
            <w:shd w:val="clear" w:color="auto" w:fill="auto"/>
          </w:tcPr>
          <w:p w14:paraId="21966CB4" w14:textId="77777777" w:rsidR="00235025" w:rsidRPr="00235025" w:rsidRDefault="00235025" w:rsidP="00235025">
            <w:pPr>
              <w:pStyle w:val="Heading2"/>
              <w:numPr>
                <w:ilvl w:val="0"/>
                <w:numId w:val="0"/>
              </w:numPr>
              <w:ind w:left="720"/>
            </w:pPr>
            <w:r w:rsidRPr="00235025">
              <w:t>0</w:t>
            </w:r>
          </w:p>
        </w:tc>
      </w:tr>
      <w:tr w:rsidR="00235025" w:rsidRPr="00235025" w14:paraId="21966CB8" w14:textId="77777777" w:rsidTr="00DC0D3F">
        <w:tc>
          <w:tcPr>
            <w:tcW w:w="4621" w:type="dxa"/>
            <w:shd w:val="clear" w:color="auto" w:fill="auto"/>
          </w:tcPr>
          <w:p w14:paraId="21966CB6" w14:textId="77777777" w:rsidR="00235025" w:rsidRPr="00235025" w:rsidRDefault="00235025" w:rsidP="00235025">
            <w:pPr>
              <w:pStyle w:val="Heading2"/>
              <w:numPr>
                <w:ilvl w:val="0"/>
                <w:numId w:val="0"/>
              </w:numPr>
              <w:ind w:left="720"/>
            </w:pPr>
            <w:r w:rsidRPr="00235025">
              <w:t>Local Government Ombudsman</w:t>
            </w:r>
          </w:p>
        </w:tc>
        <w:tc>
          <w:tcPr>
            <w:tcW w:w="4621" w:type="dxa"/>
            <w:shd w:val="clear" w:color="auto" w:fill="auto"/>
          </w:tcPr>
          <w:p w14:paraId="21966CB7" w14:textId="540A0497" w:rsidR="00235025" w:rsidRPr="00235025" w:rsidRDefault="00FC09AA" w:rsidP="00235025">
            <w:pPr>
              <w:pStyle w:val="Heading2"/>
              <w:numPr>
                <w:ilvl w:val="0"/>
                <w:numId w:val="0"/>
              </w:numPr>
              <w:ind w:left="720"/>
            </w:pPr>
            <w:r>
              <w:t>2</w:t>
            </w:r>
            <w:r w:rsidR="00235025" w:rsidRPr="00235025">
              <w:t xml:space="preserve"> (from the </w:t>
            </w:r>
            <w:r w:rsidR="00235025">
              <w:t>26</w:t>
            </w:r>
            <w:r>
              <w:t>0</w:t>
            </w:r>
            <w:r w:rsidR="00235025" w:rsidRPr="00235025">
              <w:t xml:space="preserve"> above)</w:t>
            </w:r>
          </w:p>
        </w:tc>
      </w:tr>
    </w:tbl>
    <w:p w14:paraId="21966CB9" w14:textId="77777777" w:rsidR="005D1C2C" w:rsidRDefault="005D1C2C" w:rsidP="00A33FD6">
      <w:pPr>
        <w:pStyle w:val="Heading2"/>
      </w:pPr>
      <w:r>
        <w:t>The annual complaints logs contain personal information that should not be published.  This corresponds with the Ombudsman’s view that it is neither necessary, nor desirable, for the Council to make such details public.  As a result the information provided in this report is largely statistical in nature.  Councillors should refer to the Complaints and Communications Officer if they require more details about a specific case.</w:t>
      </w:r>
    </w:p>
    <w:p w14:paraId="21966CBA" w14:textId="77777777" w:rsidR="005D1C2C" w:rsidRDefault="005D1C2C" w:rsidP="005D1C2C">
      <w:pPr>
        <w:pStyle w:val="Heading2"/>
      </w:pPr>
      <w:r>
        <w:t>The number of complaints</w:t>
      </w:r>
      <w:r w:rsidR="00A33FD6">
        <w:t xml:space="preserve"> and compliments</w:t>
      </w:r>
      <w:r>
        <w:t xml:space="preserve"> received can be broken down across the services as follows:</w:t>
      </w:r>
    </w:p>
    <w:p w14:paraId="21966CBB" w14:textId="77777777" w:rsidR="00A33FD6" w:rsidRDefault="00A33FD6" w:rsidP="00A33FD6">
      <w:pPr>
        <w:pStyle w:val="Heading2"/>
        <w:numPr>
          <w:ilvl w:val="0"/>
          <w:numId w:val="0"/>
        </w:num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2203"/>
        <w:gridCol w:w="1908"/>
        <w:gridCol w:w="2457"/>
      </w:tblGrid>
      <w:tr w:rsidR="00666EC7" w:rsidRPr="005D1C2C" w14:paraId="21966CC0" w14:textId="77777777" w:rsidTr="00FA1576">
        <w:tc>
          <w:tcPr>
            <w:tcW w:w="2719" w:type="dxa"/>
            <w:shd w:val="clear" w:color="auto" w:fill="auto"/>
          </w:tcPr>
          <w:p w14:paraId="21966CBC" w14:textId="77777777" w:rsidR="00666EC7" w:rsidRPr="005D1C2C" w:rsidRDefault="00666EC7" w:rsidP="00666EC7">
            <w:pPr>
              <w:pStyle w:val="Heading2"/>
              <w:numPr>
                <w:ilvl w:val="0"/>
                <w:numId w:val="0"/>
              </w:numPr>
              <w:ind w:left="720"/>
              <w:jc w:val="left"/>
              <w:rPr>
                <w:b/>
              </w:rPr>
            </w:pPr>
            <w:r w:rsidRPr="005D1C2C">
              <w:rPr>
                <w:b/>
              </w:rPr>
              <w:t>Service</w:t>
            </w:r>
          </w:p>
        </w:tc>
        <w:tc>
          <w:tcPr>
            <w:tcW w:w="2203" w:type="dxa"/>
            <w:shd w:val="clear" w:color="auto" w:fill="auto"/>
          </w:tcPr>
          <w:p w14:paraId="21966CBD" w14:textId="77777777" w:rsidR="00666EC7" w:rsidRPr="005D1C2C" w:rsidRDefault="00666EC7" w:rsidP="00666EC7">
            <w:pPr>
              <w:pStyle w:val="Heading2"/>
              <w:keepLines/>
              <w:numPr>
                <w:ilvl w:val="0"/>
                <w:numId w:val="0"/>
              </w:numPr>
              <w:ind w:left="720"/>
              <w:jc w:val="left"/>
              <w:rPr>
                <w:b/>
              </w:rPr>
            </w:pPr>
            <w:r>
              <w:rPr>
                <w:b/>
              </w:rPr>
              <w:t>Number o</w:t>
            </w:r>
            <w:r w:rsidRPr="005D1C2C">
              <w:rPr>
                <w:b/>
              </w:rPr>
              <w:t>f complaints</w:t>
            </w:r>
          </w:p>
        </w:tc>
        <w:tc>
          <w:tcPr>
            <w:tcW w:w="1908" w:type="dxa"/>
            <w:shd w:val="clear" w:color="auto" w:fill="auto"/>
          </w:tcPr>
          <w:p w14:paraId="21966CBE" w14:textId="77777777" w:rsidR="00666EC7" w:rsidRPr="005D1C2C" w:rsidRDefault="00666EC7" w:rsidP="00666EC7">
            <w:pPr>
              <w:pStyle w:val="Heading2"/>
              <w:numPr>
                <w:ilvl w:val="0"/>
                <w:numId w:val="0"/>
              </w:numPr>
              <w:ind w:left="720"/>
              <w:jc w:val="left"/>
              <w:rPr>
                <w:b/>
              </w:rPr>
            </w:pPr>
            <w:r w:rsidRPr="005D1C2C">
              <w:rPr>
                <w:b/>
              </w:rPr>
              <w:t>As a % overall</w:t>
            </w:r>
          </w:p>
        </w:tc>
        <w:tc>
          <w:tcPr>
            <w:tcW w:w="2457" w:type="dxa"/>
          </w:tcPr>
          <w:p w14:paraId="21966CBF" w14:textId="77777777" w:rsidR="00666EC7" w:rsidRPr="00666EC7" w:rsidRDefault="00666EC7" w:rsidP="00666EC7">
            <w:pPr>
              <w:pStyle w:val="Heading2"/>
              <w:numPr>
                <w:ilvl w:val="0"/>
                <w:numId w:val="0"/>
              </w:numPr>
              <w:ind w:left="720"/>
              <w:jc w:val="left"/>
              <w:rPr>
                <w:rStyle w:val="Emphasis"/>
              </w:rPr>
            </w:pPr>
            <w:r>
              <w:rPr>
                <w:b/>
              </w:rPr>
              <w:t>Compliments</w:t>
            </w:r>
          </w:p>
        </w:tc>
      </w:tr>
      <w:tr w:rsidR="00666EC7" w:rsidRPr="005D1C2C" w14:paraId="21966CC5" w14:textId="77777777" w:rsidTr="00FA1576">
        <w:tc>
          <w:tcPr>
            <w:tcW w:w="2719" w:type="dxa"/>
            <w:shd w:val="clear" w:color="auto" w:fill="auto"/>
          </w:tcPr>
          <w:p w14:paraId="21966CC1" w14:textId="77777777" w:rsidR="00666EC7" w:rsidRPr="005D1C2C" w:rsidRDefault="00666EC7" w:rsidP="00666EC7">
            <w:pPr>
              <w:pStyle w:val="Heading2"/>
              <w:numPr>
                <w:ilvl w:val="0"/>
                <w:numId w:val="0"/>
              </w:numPr>
              <w:ind w:left="720"/>
              <w:jc w:val="left"/>
            </w:pPr>
            <w:r w:rsidRPr="005D1C2C">
              <w:t>Communities &amp; Leisure</w:t>
            </w:r>
          </w:p>
        </w:tc>
        <w:tc>
          <w:tcPr>
            <w:tcW w:w="2203" w:type="dxa"/>
            <w:shd w:val="clear" w:color="auto" w:fill="auto"/>
          </w:tcPr>
          <w:p w14:paraId="21966CC2" w14:textId="7F4A9AED" w:rsidR="00666EC7" w:rsidRPr="005D1C2C" w:rsidRDefault="00FA1576" w:rsidP="00666EC7">
            <w:pPr>
              <w:pStyle w:val="Heading2"/>
              <w:numPr>
                <w:ilvl w:val="0"/>
                <w:numId w:val="0"/>
              </w:numPr>
              <w:ind w:left="720"/>
              <w:jc w:val="left"/>
            </w:pPr>
            <w:r>
              <w:t>10</w:t>
            </w:r>
          </w:p>
        </w:tc>
        <w:tc>
          <w:tcPr>
            <w:tcW w:w="1908" w:type="dxa"/>
            <w:shd w:val="clear" w:color="auto" w:fill="auto"/>
          </w:tcPr>
          <w:p w14:paraId="21966CC3" w14:textId="2F13D527" w:rsidR="00666EC7" w:rsidRPr="005D1C2C" w:rsidRDefault="00234F8E" w:rsidP="00666EC7">
            <w:pPr>
              <w:pStyle w:val="Heading2"/>
              <w:numPr>
                <w:ilvl w:val="0"/>
                <w:numId w:val="0"/>
              </w:numPr>
              <w:ind w:left="720" w:hanging="720"/>
              <w:jc w:val="left"/>
            </w:pPr>
            <w:r>
              <w:t>3.8</w:t>
            </w:r>
          </w:p>
        </w:tc>
        <w:tc>
          <w:tcPr>
            <w:tcW w:w="2457" w:type="dxa"/>
          </w:tcPr>
          <w:p w14:paraId="21966CC4" w14:textId="73EC33D8" w:rsidR="00666EC7" w:rsidRPr="005D1C2C" w:rsidRDefault="00BF1EC9" w:rsidP="00666EC7">
            <w:pPr>
              <w:pStyle w:val="Heading2"/>
              <w:numPr>
                <w:ilvl w:val="0"/>
                <w:numId w:val="0"/>
              </w:numPr>
              <w:ind w:left="720" w:hanging="720"/>
              <w:jc w:val="left"/>
            </w:pPr>
            <w:r>
              <w:t>24</w:t>
            </w:r>
          </w:p>
        </w:tc>
      </w:tr>
      <w:tr w:rsidR="00666EC7" w:rsidRPr="005D1C2C" w14:paraId="21966CCA" w14:textId="77777777" w:rsidTr="00FA1576">
        <w:tc>
          <w:tcPr>
            <w:tcW w:w="2719" w:type="dxa"/>
            <w:shd w:val="clear" w:color="auto" w:fill="auto"/>
          </w:tcPr>
          <w:p w14:paraId="21966CC6" w14:textId="77777777" w:rsidR="00666EC7" w:rsidRPr="005D1C2C" w:rsidRDefault="00666EC7" w:rsidP="00666EC7">
            <w:pPr>
              <w:pStyle w:val="Heading2"/>
              <w:numPr>
                <w:ilvl w:val="0"/>
                <w:numId w:val="0"/>
              </w:numPr>
              <w:ind w:left="720"/>
              <w:jc w:val="left"/>
            </w:pPr>
            <w:r w:rsidRPr="005D1C2C">
              <w:t>Environmental Services</w:t>
            </w:r>
          </w:p>
        </w:tc>
        <w:tc>
          <w:tcPr>
            <w:tcW w:w="2203" w:type="dxa"/>
            <w:shd w:val="clear" w:color="auto" w:fill="auto"/>
          </w:tcPr>
          <w:p w14:paraId="21966CC7" w14:textId="2AB68742" w:rsidR="00666EC7" w:rsidRPr="005D1C2C" w:rsidRDefault="00FA1576" w:rsidP="00666EC7">
            <w:pPr>
              <w:pStyle w:val="Heading2"/>
              <w:numPr>
                <w:ilvl w:val="0"/>
                <w:numId w:val="0"/>
              </w:numPr>
              <w:ind w:left="720"/>
              <w:jc w:val="left"/>
            </w:pPr>
            <w:r>
              <w:t>144</w:t>
            </w:r>
          </w:p>
        </w:tc>
        <w:tc>
          <w:tcPr>
            <w:tcW w:w="1908" w:type="dxa"/>
            <w:shd w:val="clear" w:color="auto" w:fill="auto"/>
          </w:tcPr>
          <w:p w14:paraId="21966CC8" w14:textId="3AD8365C" w:rsidR="00666EC7" w:rsidRPr="005D1C2C" w:rsidRDefault="00234F8E" w:rsidP="00666EC7">
            <w:pPr>
              <w:pStyle w:val="Heading2"/>
              <w:numPr>
                <w:ilvl w:val="0"/>
                <w:numId w:val="0"/>
              </w:numPr>
              <w:ind w:left="720" w:hanging="720"/>
              <w:jc w:val="left"/>
            </w:pPr>
            <w:r>
              <w:t>55.5</w:t>
            </w:r>
          </w:p>
        </w:tc>
        <w:tc>
          <w:tcPr>
            <w:tcW w:w="2457" w:type="dxa"/>
          </w:tcPr>
          <w:p w14:paraId="21966CC9" w14:textId="5DCFB30B" w:rsidR="00666EC7" w:rsidRPr="005D1C2C" w:rsidRDefault="00416C57" w:rsidP="00666EC7">
            <w:pPr>
              <w:pStyle w:val="Heading2"/>
              <w:numPr>
                <w:ilvl w:val="0"/>
                <w:numId w:val="0"/>
              </w:numPr>
              <w:ind w:left="720" w:hanging="720"/>
              <w:jc w:val="left"/>
            </w:pPr>
            <w:r>
              <w:t>139</w:t>
            </w:r>
          </w:p>
        </w:tc>
      </w:tr>
      <w:tr w:rsidR="00666EC7" w:rsidRPr="005D1C2C" w14:paraId="21966CD4" w14:textId="77777777" w:rsidTr="00FA1576">
        <w:tc>
          <w:tcPr>
            <w:tcW w:w="2719" w:type="dxa"/>
            <w:shd w:val="clear" w:color="auto" w:fill="auto"/>
          </w:tcPr>
          <w:p w14:paraId="21966CD0" w14:textId="77777777" w:rsidR="00666EC7" w:rsidRPr="005D1C2C" w:rsidRDefault="00666EC7" w:rsidP="00666EC7">
            <w:pPr>
              <w:pStyle w:val="Heading2"/>
              <w:numPr>
                <w:ilvl w:val="0"/>
                <w:numId w:val="0"/>
              </w:numPr>
              <w:ind w:left="720"/>
              <w:jc w:val="left"/>
            </w:pPr>
            <w:r w:rsidRPr="005D1C2C">
              <w:t>Housing &amp; Environmental Health</w:t>
            </w:r>
          </w:p>
        </w:tc>
        <w:tc>
          <w:tcPr>
            <w:tcW w:w="2203" w:type="dxa"/>
            <w:shd w:val="clear" w:color="auto" w:fill="auto"/>
          </w:tcPr>
          <w:p w14:paraId="21966CD1" w14:textId="540AE788" w:rsidR="00666EC7" w:rsidRPr="005D1C2C" w:rsidRDefault="00FA1576" w:rsidP="00666EC7">
            <w:pPr>
              <w:pStyle w:val="Heading2"/>
              <w:numPr>
                <w:ilvl w:val="0"/>
                <w:numId w:val="0"/>
              </w:numPr>
              <w:ind w:left="720"/>
              <w:jc w:val="left"/>
            </w:pPr>
            <w:r>
              <w:t>11</w:t>
            </w:r>
          </w:p>
        </w:tc>
        <w:tc>
          <w:tcPr>
            <w:tcW w:w="1908" w:type="dxa"/>
            <w:shd w:val="clear" w:color="auto" w:fill="auto"/>
          </w:tcPr>
          <w:p w14:paraId="21966CD2" w14:textId="13F9058E" w:rsidR="00666EC7" w:rsidRPr="005D1C2C" w:rsidRDefault="00234F8E" w:rsidP="00666EC7">
            <w:pPr>
              <w:pStyle w:val="Heading2"/>
              <w:numPr>
                <w:ilvl w:val="0"/>
                <w:numId w:val="0"/>
              </w:numPr>
              <w:ind w:left="720" w:hanging="720"/>
              <w:jc w:val="left"/>
            </w:pPr>
            <w:r>
              <w:t>4.2</w:t>
            </w:r>
          </w:p>
        </w:tc>
        <w:tc>
          <w:tcPr>
            <w:tcW w:w="2457" w:type="dxa"/>
          </w:tcPr>
          <w:p w14:paraId="21966CD3" w14:textId="33500067" w:rsidR="00666EC7" w:rsidRPr="005D1C2C" w:rsidRDefault="00416C57" w:rsidP="00666EC7">
            <w:pPr>
              <w:pStyle w:val="Heading2"/>
              <w:numPr>
                <w:ilvl w:val="0"/>
                <w:numId w:val="0"/>
              </w:numPr>
              <w:ind w:left="720" w:hanging="720"/>
              <w:jc w:val="left"/>
            </w:pPr>
            <w:r>
              <w:t>8</w:t>
            </w:r>
          </w:p>
        </w:tc>
      </w:tr>
      <w:tr w:rsidR="00666EC7" w:rsidRPr="005D1C2C" w14:paraId="21966CDE" w14:textId="77777777" w:rsidTr="00FA1576">
        <w:tc>
          <w:tcPr>
            <w:tcW w:w="2719" w:type="dxa"/>
            <w:shd w:val="clear" w:color="auto" w:fill="auto"/>
          </w:tcPr>
          <w:p w14:paraId="21966CDA" w14:textId="77777777" w:rsidR="00666EC7" w:rsidRPr="005D1C2C" w:rsidRDefault="00666EC7" w:rsidP="00666EC7">
            <w:pPr>
              <w:pStyle w:val="Heading2"/>
              <w:numPr>
                <w:ilvl w:val="0"/>
                <w:numId w:val="0"/>
              </w:numPr>
              <w:ind w:left="720"/>
              <w:jc w:val="left"/>
            </w:pPr>
            <w:r w:rsidRPr="005D1C2C">
              <w:t>Planning &amp; Building</w:t>
            </w:r>
          </w:p>
        </w:tc>
        <w:tc>
          <w:tcPr>
            <w:tcW w:w="2203" w:type="dxa"/>
            <w:shd w:val="clear" w:color="auto" w:fill="auto"/>
          </w:tcPr>
          <w:p w14:paraId="21966CDB" w14:textId="481EC3E2" w:rsidR="00666EC7" w:rsidRPr="005D1C2C" w:rsidRDefault="00FA1576" w:rsidP="00666EC7">
            <w:pPr>
              <w:pStyle w:val="Heading2"/>
              <w:numPr>
                <w:ilvl w:val="0"/>
                <w:numId w:val="0"/>
              </w:numPr>
              <w:ind w:left="720"/>
              <w:jc w:val="left"/>
            </w:pPr>
            <w:r>
              <w:t>33</w:t>
            </w:r>
          </w:p>
        </w:tc>
        <w:tc>
          <w:tcPr>
            <w:tcW w:w="1908" w:type="dxa"/>
            <w:shd w:val="clear" w:color="auto" w:fill="auto"/>
          </w:tcPr>
          <w:p w14:paraId="21966CDC" w14:textId="44638D89" w:rsidR="00666EC7" w:rsidRPr="005D1C2C" w:rsidRDefault="00234F8E" w:rsidP="00666EC7">
            <w:pPr>
              <w:pStyle w:val="Heading2"/>
              <w:numPr>
                <w:ilvl w:val="0"/>
                <w:numId w:val="0"/>
              </w:numPr>
              <w:ind w:left="720" w:hanging="720"/>
              <w:jc w:val="left"/>
            </w:pPr>
            <w:r>
              <w:t>12.6</w:t>
            </w:r>
          </w:p>
        </w:tc>
        <w:tc>
          <w:tcPr>
            <w:tcW w:w="2457" w:type="dxa"/>
          </w:tcPr>
          <w:p w14:paraId="21966CDD" w14:textId="77777777" w:rsidR="00666EC7" w:rsidRPr="002248A6" w:rsidRDefault="00666EC7" w:rsidP="00666EC7">
            <w:pPr>
              <w:pStyle w:val="Heading2"/>
              <w:numPr>
                <w:ilvl w:val="0"/>
                <w:numId w:val="0"/>
              </w:numPr>
              <w:ind w:left="720" w:hanging="720"/>
              <w:jc w:val="left"/>
              <w:rPr>
                <w:szCs w:val="24"/>
              </w:rPr>
            </w:pPr>
            <w:r w:rsidRPr="002248A6">
              <w:rPr>
                <w:szCs w:val="24"/>
              </w:rPr>
              <w:t>Not recorded</w:t>
            </w:r>
          </w:p>
        </w:tc>
      </w:tr>
      <w:tr w:rsidR="00666EC7" w:rsidRPr="005D1C2C" w14:paraId="21966CE3" w14:textId="77777777" w:rsidTr="00FA1576">
        <w:tc>
          <w:tcPr>
            <w:tcW w:w="2719" w:type="dxa"/>
            <w:shd w:val="clear" w:color="auto" w:fill="auto"/>
          </w:tcPr>
          <w:p w14:paraId="21966CDF" w14:textId="77777777" w:rsidR="00666EC7" w:rsidRPr="005D1C2C" w:rsidRDefault="00666EC7" w:rsidP="00666EC7">
            <w:pPr>
              <w:pStyle w:val="Heading2"/>
              <w:numPr>
                <w:ilvl w:val="0"/>
                <w:numId w:val="0"/>
              </w:numPr>
              <w:ind w:left="720"/>
              <w:jc w:val="left"/>
            </w:pPr>
            <w:r w:rsidRPr="005D1C2C">
              <w:t>Planning Policy &amp; Transport</w:t>
            </w:r>
          </w:p>
        </w:tc>
        <w:tc>
          <w:tcPr>
            <w:tcW w:w="2203" w:type="dxa"/>
            <w:shd w:val="clear" w:color="auto" w:fill="auto"/>
          </w:tcPr>
          <w:p w14:paraId="21966CE0" w14:textId="5F4DA09F" w:rsidR="00666EC7" w:rsidRPr="005D1C2C" w:rsidRDefault="00FA1576" w:rsidP="00666EC7">
            <w:pPr>
              <w:pStyle w:val="Heading2"/>
              <w:numPr>
                <w:ilvl w:val="0"/>
                <w:numId w:val="0"/>
              </w:numPr>
              <w:ind w:left="720"/>
              <w:jc w:val="left"/>
            </w:pPr>
            <w:r>
              <w:t>21</w:t>
            </w:r>
          </w:p>
        </w:tc>
        <w:tc>
          <w:tcPr>
            <w:tcW w:w="1908" w:type="dxa"/>
            <w:shd w:val="clear" w:color="auto" w:fill="auto"/>
          </w:tcPr>
          <w:p w14:paraId="21966CE1" w14:textId="3A399C68" w:rsidR="00666EC7" w:rsidRPr="005D1C2C" w:rsidRDefault="00234F8E" w:rsidP="00666EC7">
            <w:pPr>
              <w:pStyle w:val="Heading2"/>
              <w:numPr>
                <w:ilvl w:val="0"/>
                <w:numId w:val="0"/>
              </w:numPr>
              <w:ind w:left="720" w:hanging="720"/>
              <w:jc w:val="left"/>
            </w:pPr>
            <w:r>
              <w:t>8.1</w:t>
            </w:r>
          </w:p>
        </w:tc>
        <w:tc>
          <w:tcPr>
            <w:tcW w:w="2457" w:type="dxa"/>
          </w:tcPr>
          <w:p w14:paraId="21966CE2" w14:textId="7B654B92" w:rsidR="00666EC7" w:rsidRPr="005D1C2C" w:rsidRDefault="00416C57" w:rsidP="00666EC7">
            <w:pPr>
              <w:pStyle w:val="Heading2"/>
              <w:numPr>
                <w:ilvl w:val="0"/>
                <w:numId w:val="0"/>
              </w:numPr>
              <w:ind w:left="720" w:hanging="720"/>
              <w:jc w:val="left"/>
            </w:pPr>
            <w:r>
              <w:t>34</w:t>
            </w:r>
          </w:p>
        </w:tc>
      </w:tr>
      <w:tr w:rsidR="00666EC7" w:rsidRPr="005D1C2C" w14:paraId="21966CE8" w14:textId="77777777" w:rsidTr="00FA1576">
        <w:tc>
          <w:tcPr>
            <w:tcW w:w="2719" w:type="dxa"/>
            <w:shd w:val="clear" w:color="auto" w:fill="auto"/>
          </w:tcPr>
          <w:p w14:paraId="21966CE4" w14:textId="77777777" w:rsidR="00666EC7" w:rsidRPr="005D1C2C" w:rsidRDefault="00666EC7" w:rsidP="00666EC7">
            <w:pPr>
              <w:pStyle w:val="Heading2"/>
              <w:numPr>
                <w:ilvl w:val="0"/>
                <w:numId w:val="0"/>
              </w:numPr>
              <w:ind w:left="720"/>
              <w:jc w:val="left"/>
            </w:pPr>
            <w:r w:rsidRPr="005D1C2C">
              <w:t>Revenues (incl CSU)</w:t>
            </w:r>
          </w:p>
        </w:tc>
        <w:tc>
          <w:tcPr>
            <w:tcW w:w="2203" w:type="dxa"/>
            <w:shd w:val="clear" w:color="auto" w:fill="auto"/>
          </w:tcPr>
          <w:p w14:paraId="21966CE5" w14:textId="4017E6B4" w:rsidR="00666EC7" w:rsidRPr="005D1C2C" w:rsidRDefault="00FA1576" w:rsidP="00666EC7">
            <w:pPr>
              <w:pStyle w:val="Heading2"/>
              <w:numPr>
                <w:ilvl w:val="0"/>
                <w:numId w:val="0"/>
              </w:numPr>
              <w:ind w:left="720"/>
              <w:jc w:val="left"/>
            </w:pPr>
            <w:r>
              <w:t>32</w:t>
            </w:r>
          </w:p>
        </w:tc>
        <w:tc>
          <w:tcPr>
            <w:tcW w:w="1908" w:type="dxa"/>
            <w:shd w:val="clear" w:color="auto" w:fill="auto"/>
          </w:tcPr>
          <w:p w14:paraId="21966CE6" w14:textId="4F32213D" w:rsidR="00666EC7" w:rsidRPr="005D1C2C" w:rsidRDefault="00234F8E" w:rsidP="00666EC7">
            <w:pPr>
              <w:pStyle w:val="Heading2"/>
              <w:numPr>
                <w:ilvl w:val="0"/>
                <w:numId w:val="0"/>
              </w:numPr>
              <w:ind w:left="720" w:hanging="720"/>
              <w:jc w:val="left"/>
            </w:pPr>
            <w:r>
              <w:t>12.3</w:t>
            </w:r>
          </w:p>
        </w:tc>
        <w:tc>
          <w:tcPr>
            <w:tcW w:w="2457" w:type="dxa"/>
          </w:tcPr>
          <w:p w14:paraId="21966CE7" w14:textId="40FF1B87" w:rsidR="00666EC7" w:rsidRPr="005D1C2C" w:rsidRDefault="00BF1EC9" w:rsidP="00666EC7">
            <w:pPr>
              <w:pStyle w:val="Heading2"/>
              <w:numPr>
                <w:ilvl w:val="0"/>
                <w:numId w:val="0"/>
              </w:numPr>
              <w:ind w:left="720" w:hanging="720"/>
              <w:jc w:val="left"/>
            </w:pPr>
            <w:r>
              <w:t>17</w:t>
            </w:r>
          </w:p>
        </w:tc>
      </w:tr>
      <w:tr w:rsidR="00FA1576" w:rsidRPr="005D1C2C" w14:paraId="7DE9E643" w14:textId="77777777" w:rsidTr="00FA1576">
        <w:tc>
          <w:tcPr>
            <w:tcW w:w="2719" w:type="dxa"/>
            <w:shd w:val="clear" w:color="auto" w:fill="auto"/>
          </w:tcPr>
          <w:p w14:paraId="3E319424" w14:textId="266AAC28" w:rsidR="00FA1576" w:rsidRPr="005D1C2C" w:rsidRDefault="00FA1576" w:rsidP="00666EC7">
            <w:pPr>
              <w:pStyle w:val="Heading2"/>
              <w:numPr>
                <w:ilvl w:val="0"/>
                <w:numId w:val="0"/>
              </w:numPr>
              <w:ind w:left="720"/>
              <w:jc w:val="left"/>
            </w:pPr>
            <w:r>
              <w:t xml:space="preserve">Cross Service </w:t>
            </w:r>
          </w:p>
        </w:tc>
        <w:tc>
          <w:tcPr>
            <w:tcW w:w="2203" w:type="dxa"/>
            <w:shd w:val="clear" w:color="auto" w:fill="auto"/>
          </w:tcPr>
          <w:p w14:paraId="0F0D0A57" w14:textId="655B5245" w:rsidR="00FA1576" w:rsidRDefault="00FA1576" w:rsidP="00666EC7">
            <w:pPr>
              <w:pStyle w:val="Heading2"/>
              <w:numPr>
                <w:ilvl w:val="0"/>
                <w:numId w:val="0"/>
              </w:numPr>
              <w:ind w:left="720"/>
              <w:jc w:val="left"/>
            </w:pPr>
            <w:r>
              <w:t>1</w:t>
            </w:r>
          </w:p>
        </w:tc>
        <w:tc>
          <w:tcPr>
            <w:tcW w:w="1908" w:type="dxa"/>
            <w:shd w:val="clear" w:color="auto" w:fill="auto"/>
          </w:tcPr>
          <w:p w14:paraId="0252563E" w14:textId="0DD8ED2F" w:rsidR="00FA1576" w:rsidRPr="005D1C2C" w:rsidRDefault="00234F8E" w:rsidP="00666EC7">
            <w:pPr>
              <w:pStyle w:val="Heading2"/>
              <w:numPr>
                <w:ilvl w:val="0"/>
                <w:numId w:val="0"/>
              </w:numPr>
              <w:ind w:left="720" w:hanging="720"/>
              <w:jc w:val="left"/>
            </w:pPr>
            <w:r>
              <w:t>0.4</w:t>
            </w:r>
          </w:p>
        </w:tc>
        <w:tc>
          <w:tcPr>
            <w:tcW w:w="2457" w:type="dxa"/>
          </w:tcPr>
          <w:p w14:paraId="2BC34990" w14:textId="7811093C" w:rsidR="00FA1576" w:rsidRPr="005D1C2C" w:rsidRDefault="00416C57" w:rsidP="00666EC7">
            <w:pPr>
              <w:pStyle w:val="Heading2"/>
              <w:numPr>
                <w:ilvl w:val="0"/>
                <w:numId w:val="0"/>
              </w:numPr>
              <w:ind w:left="720" w:hanging="720"/>
              <w:jc w:val="left"/>
            </w:pPr>
            <w:r>
              <w:t>n/a</w:t>
            </w:r>
          </w:p>
        </w:tc>
      </w:tr>
      <w:tr w:rsidR="00666EC7" w:rsidRPr="005D1C2C" w14:paraId="21966CED" w14:textId="77777777" w:rsidTr="00FA1576">
        <w:tc>
          <w:tcPr>
            <w:tcW w:w="2719" w:type="dxa"/>
            <w:shd w:val="clear" w:color="auto" w:fill="auto"/>
          </w:tcPr>
          <w:p w14:paraId="21966CE9" w14:textId="3DDCFB25" w:rsidR="00666EC7" w:rsidRPr="005D1C2C" w:rsidRDefault="00666EC7" w:rsidP="00D32441">
            <w:pPr>
              <w:pStyle w:val="Heading2"/>
              <w:numPr>
                <w:ilvl w:val="0"/>
                <w:numId w:val="0"/>
              </w:numPr>
              <w:ind w:left="720"/>
              <w:jc w:val="left"/>
            </w:pPr>
            <w:r w:rsidRPr="005D1C2C">
              <w:t xml:space="preserve">CEX escalations from the </w:t>
            </w:r>
            <w:r>
              <w:t>2</w:t>
            </w:r>
            <w:r w:rsidR="00FA1576">
              <w:t>60</w:t>
            </w:r>
            <w:r w:rsidRPr="005D1C2C">
              <w:t xml:space="preserve"> service level complaints</w:t>
            </w:r>
          </w:p>
        </w:tc>
        <w:tc>
          <w:tcPr>
            <w:tcW w:w="2203" w:type="dxa"/>
            <w:shd w:val="clear" w:color="auto" w:fill="auto"/>
          </w:tcPr>
          <w:p w14:paraId="21966CEA" w14:textId="619BA284" w:rsidR="00666EC7" w:rsidRPr="005D1C2C" w:rsidRDefault="00FA1576" w:rsidP="00666EC7">
            <w:pPr>
              <w:pStyle w:val="Heading2"/>
              <w:numPr>
                <w:ilvl w:val="0"/>
                <w:numId w:val="0"/>
              </w:numPr>
              <w:ind w:left="720"/>
              <w:jc w:val="left"/>
            </w:pPr>
            <w:r>
              <w:t>8</w:t>
            </w:r>
          </w:p>
        </w:tc>
        <w:tc>
          <w:tcPr>
            <w:tcW w:w="1908" w:type="dxa"/>
            <w:shd w:val="clear" w:color="auto" w:fill="auto"/>
          </w:tcPr>
          <w:p w14:paraId="21966CEB" w14:textId="07D2A584" w:rsidR="00666EC7" w:rsidRPr="005D1C2C" w:rsidRDefault="00234F8E" w:rsidP="00666EC7">
            <w:pPr>
              <w:pStyle w:val="Heading2"/>
              <w:numPr>
                <w:ilvl w:val="0"/>
                <w:numId w:val="0"/>
              </w:numPr>
              <w:ind w:left="720" w:hanging="720"/>
              <w:jc w:val="left"/>
            </w:pPr>
            <w:r>
              <w:t>3.1</w:t>
            </w:r>
          </w:p>
        </w:tc>
        <w:tc>
          <w:tcPr>
            <w:tcW w:w="2457" w:type="dxa"/>
          </w:tcPr>
          <w:p w14:paraId="21966CEC" w14:textId="77777777" w:rsidR="00666EC7" w:rsidRPr="002248A6" w:rsidRDefault="00666EC7" w:rsidP="00666EC7">
            <w:pPr>
              <w:pStyle w:val="Heading2"/>
              <w:numPr>
                <w:ilvl w:val="0"/>
                <w:numId w:val="0"/>
              </w:numPr>
              <w:ind w:left="720" w:hanging="720"/>
              <w:jc w:val="left"/>
              <w:rPr>
                <w:szCs w:val="24"/>
              </w:rPr>
            </w:pPr>
            <w:r w:rsidRPr="002248A6">
              <w:rPr>
                <w:szCs w:val="24"/>
              </w:rPr>
              <w:t>n/a</w:t>
            </w:r>
          </w:p>
        </w:tc>
      </w:tr>
    </w:tbl>
    <w:p w14:paraId="21966CEE" w14:textId="77777777" w:rsidR="00A33FD6" w:rsidRDefault="00A33FD6" w:rsidP="005D1C2C">
      <w:pPr>
        <w:pStyle w:val="Heading2"/>
        <w:numPr>
          <w:ilvl w:val="0"/>
          <w:numId w:val="0"/>
        </w:numPr>
        <w:ind w:left="720"/>
      </w:pPr>
      <w:r>
        <w:lastRenderedPageBreak/>
        <w:t>It should be noted that the number of complaints per service does not necessarily provide a direct correlation with the standard of customer service provided, and that these overall results cannot be treated in isolation.</w:t>
      </w:r>
    </w:p>
    <w:p w14:paraId="21966CEF" w14:textId="77777777" w:rsidR="00A33FD6" w:rsidRDefault="00A33FD6" w:rsidP="005D1C2C">
      <w:pPr>
        <w:pStyle w:val="Heading2"/>
        <w:numPr>
          <w:ilvl w:val="0"/>
          <w:numId w:val="0"/>
        </w:numPr>
        <w:ind w:left="720"/>
      </w:pPr>
      <w:r>
        <w:t>Each of these service results are heavily influenced by the type of business transacted by that service, for example, the number of customer facing transactions carried out, the public profile of the actions carried out by that service, and whether the customer has alternative formal routes for redress or appeal.</w:t>
      </w:r>
    </w:p>
    <w:p w14:paraId="21966CF0" w14:textId="77777777" w:rsidR="00160824" w:rsidRDefault="00160824" w:rsidP="002248A6">
      <w:pPr>
        <w:pStyle w:val="Heading2"/>
        <w:numPr>
          <w:ilvl w:val="0"/>
          <w:numId w:val="0"/>
        </w:numPr>
      </w:pPr>
    </w:p>
    <w:p w14:paraId="21966CF2" w14:textId="477141B9" w:rsidR="00A33FD6" w:rsidRDefault="00A33FD6" w:rsidP="002248A6">
      <w:pPr>
        <w:pStyle w:val="Heading2"/>
      </w:pPr>
      <w:r>
        <w:t>An analysis of the root cause of complaints received has shown that the majority of comp</w:t>
      </w:r>
      <w:r w:rsidR="007016D0">
        <w:t>laints can be categorised into four</w:t>
      </w:r>
      <w:r>
        <w:t xml:space="preserve"> main types:</w:t>
      </w:r>
    </w:p>
    <w:p w14:paraId="5EF3416E" w14:textId="77777777" w:rsidR="002248A6" w:rsidRDefault="002248A6" w:rsidP="002248A6">
      <w:pPr>
        <w:pStyle w:val="Head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A33FD6" w:rsidRPr="00A33FD6" w14:paraId="21966CF5" w14:textId="77777777" w:rsidTr="00DC0D3F">
        <w:tc>
          <w:tcPr>
            <w:tcW w:w="4621" w:type="dxa"/>
            <w:shd w:val="clear" w:color="auto" w:fill="auto"/>
          </w:tcPr>
          <w:p w14:paraId="21966CF3" w14:textId="77777777" w:rsidR="00A33FD6" w:rsidRPr="00A33FD6" w:rsidRDefault="00A33FD6" w:rsidP="00A33FD6">
            <w:pPr>
              <w:pStyle w:val="Heading1"/>
              <w:numPr>
                <w:ilvl w:val="0"/>
                <w:numId w:val="0"/>
              </w:numPr>
              <w:ind w:left="720"/>
            </w:pPr>
            <w:r w:rsidRPr="00A33FD6">
              <w:t>Type of complaint</w:t>
            </w:r>
          </w:p>
        </w:tc>
        <w:tc>
          <w:tcPr>
            <w:tcW w:w="4621" w:type="dxa"/>
            <w:shd w:val="clear" w:color="auto" w:fill="auto"/>
          </w:tcPr>
          <w:p w14:paraId="21966CF4" w14:textId="77777777" w:rsidR="00A33FD6" w:rsidRPr="00A33FD6" w:rsidRDefault="00A33FD6" w:rsidP="00A33FD6">
            <w:pPr>
              <w:pStyle w:val="Heading1"/>
              <w:numPr>
                <w:ilvl w:val="0"/>
                <w:numId w:val="0"/>
              </w:numPr>
              <w:ind w:left="720"/>
            </w:pPr>
            <w:r w:rsidRPr="00A33FD6">
              <w:t>Percentage</w:t>
            </w:r>
            <w:r w:rsidR="00160824">
              <w:t xml:space="preserve"> </w:t>
            </w:r>
          </w:p>
        </w:tc>
      </w:tr>
      <w:tr w:rsidR="00A33FD6" w:rsidRPr="00A33FD6" w14:paraId="21966CF8" w14:textId="77777777" w:rsidTr="00DC0D3F">
        <w:tc>
          <w:tcPr>
            <w:tcW w:w="4621" w:type="dxa"/>
            <w:shd w:val="clear" w:color="auto" w:fill="auto"/>
          </w:tcPr>
          <w:p w14:paraId="21966CF6" w14:textId="77777777" w:rsidR="00A33FD6" w:rsidRPr="00A2538E" w:rsidRDefault="00A33FD6" w:rsidP="00A33FD6">
            <w:pPr>
              <w:pStyle w:val="Heading1"/>
              <w:numPr>
                <w:ilvl w:val="0"/>
                <w:numId w:val="0"/>
              </w:numPr>
              <w:ind w:left="720"/>
              <w:rPr>
                <w:b w:val="0"/>
              </w:rPr>
            </w:pPr>
            <w:r w:rsidRPr="00A2538E">
              <w:rPr>
                <w:b w:val="0"/>
              </w:rPr>
              <w:t>Unhappy with decision taken by Council</w:t>
            </w:r>
          </w:p>
        </w:tc>
        <w:tc>
          <w:tcPr>
            <w:tcW w:w="4621" w:type="dxa"/>
            <w:shd w:val="clear" w:color="auto" w:fill="auto"/>
          </w:tcPr>
          <w:p w14:paraId="21966CF7" w14:textId="74AD52EB" w:rsidR="00A33FD6" w:rsidRPr="00A2538E" w:rsidRDefault="004C5E79" w:rsidP="00A33FD6">
            <w:pPr>
              <w:pStyle w:val="Heading1"/>
              <w:numPr>
                <w:ilvl w:val="0"/>
                <w:numId w:val="0"/>
              </w:numPr>
              <w:ind w:left="720"/>
              <w:rPr>
                <w:b w:val="0"/>
              </w:rPr>
            </w:pPr>
            <w:r>
              <w:rPr>
                <w:b w:val="0"/>
              </w:rPr>
              <w:t>10</w:t>
            </w:r>
          </w:p>
        </w:tc>
      </w:tr>
      <w:tr w:rsidR="00160824" w:rsidRPr="00A33FD6" w14:paraId="21966CFB" w14:textId="77777777" w:rsidTr="00DC0D3F">
        <w:tc>
          <w:tcPr>
            <w:tcW w:w="4621" w:type="dxa"/>
            <w:shd w:val="clear" w:color="auto" w:fill="auto"/>
          </w:tcPr>
          <w:p w14:paraId="21966CF9" w14:textId="77777777" w:rsidR="00160824" w:rsidRPr="00A2538E" w:rsidRDefault="00160824" w:rsidP="00DF1E21">
            <w:pPr>
              <w:pStyle w:val="Heading1"/>
              <w:numPr>
                <w:ilvl w:val="0"/>
                <w:numId w:val="0"/>
              </w:numPr>
              <w:ind w:left="720"/>
              <w:rPr>
                <w:b w:val="0"/>
              </w:rPr>
            </w:pPr>
            <w:r w:rsidRPr="00A2538E">
              <w:rPr>
                <w:b w:val="0"/>
              </w:rPr>
              <w:t>Staff conduct</w:t>
            </w:r>
          </w:p>
        </w:tc>
        <w:tc>
          <w:tcPr>
            <w:tcW w:w="4621" w:type="dxa"/>
            <w:shd w:val="clear" w:color="auto" w:fill="auto"/>
          </w:tcPr>
          <w:p w14:paraId="21966CFA" w14:textId="5513E1E7" w:rsidR="00160824" w:rsidRPr="00A2538E" w:rsidRDefault="004C5E79" w:rsidP="00DF1E21">
            <w:pPr>
              <w:pStyle w:val="Heading1"/>
              <w:numPr>
                <w:ilvl w:val="0"/>
                <w:numId w:val="0"/>
              </w:numPr>
              <w:ind w:left="720"/>
              <w:rPr>
                <w:b w:val="0"/>
              </w:rPr>
            </w:pPr>
            <w:r>
              <w:rPr>
                <w:b w:val="0"/>
              </w:rPr>
              <w:t>10</w:t>
            </w:r>
          </w:p>
        </w:tc>
      </w:tr>
      <w:tr w:rsidR="00160824" w:rsidRPr="00A33FD6" w14:paraId="21966CFE" w14:textId="77777777" w:rsidTr="00DC0D3F">
        <w:tc>
          <w:tcPr>
            <w:tcW w:w="4621" w:type="dxa"/>
            <w:shd w:val="clear" w:color="auto" w:fill="auto"/>
          </w:tcPr>
          <w:p w14:paraId="21966CFC" w14:textId="77777777" w:rsidR="00160824" w:rsidRPr="00A2538E" w:rsidRDefault="00160824" w:rsidP="00A33FD6">
            <w:pPr>
              <w:pStyle w:val="Heading1"/>
              <w:numPr>
                <w:ilvl w:val="0"/>
                <w:numId w:val="0"/>
              </w:numPr>
              <w:ind w:left="720"/>
              <w:rPr>
                <w:b w:val="0"/>
              </w:rPr>
            </w:pPr>
            <w:r w:rsidRPr="00A2538E">
              <w:rPr>
                <w:b w:val="0"/>
              </w:rPr>
              <w:t>No response received/poor communication</w:t>
            </w:r>
          </w:p>
        </w:tc>
        <w:tc>
          <w:tcPr>
            <w:tcW w:w="4621" w:type="dxa"/>
            <w:shd w:val="clear" w:color="auto" w:fill="auto"/>
          </w:tcPr>
          <w:p w14:paraId="21966CFD" w14:textId="4F311219" w:rsidR="00160824" w:rsidRPr="00A2538E" w:rsidRDefault="004C5E79" w:rsidP="00A33FD6">
            <w:pPr>
              <w:pStyle w:val="Heading1"/>
              <w:numPr>
                <w:ilvl w:val="0"/>
                <w:numId w:val="0"/>
              </w:numPr>
              <w:ind w:left="720"/>
              <w:rPr>
                <w:b w:val="0"/>
              </w:rPr>
            </w:pPr>
            <w:r>
              <w:rPr>
                <w:b w:val="0"/>
              </w:rPr>
              <w:t>7</w:t>
            </w:r>
          </w:p>
        </w:tc>
      </w:tr>
      <w:tr w:rsidR="00160824" w:rsidRPr="00A33FD6" w14:paraId="21966D01" w14:textId="77777777" w:rsidTr="00DC0D3F">
        <w:tc>
          <w:tcPr>
            <w:tcW w:w="4621" w:type="dxa"/>
            <w:shd w:val="clear" w:color="auto" w:fill="auto"/>
          </w:tcPr>
          <w:p w14:paraId="21966CFF" w14:textId="77777777" w:rsidR="00160824" w:rsidRPr="00A2538E" w:rsidRDefault="00160824" w:rsidP="00DF1E21">
            <w:pPr>
              <w:pStyle w:val="Heading1"/>
              <w:numPr>
                <w:ilvl w:val="0"/>
                <w:numId w:val="0"/>
              </w:numPr>
              <w:ind w:left="720"/>
              <w:rPr>
                <w:b w:val="0"/>
              </w:rPr>
            </w:pPr>
            <w:r w:rsidRPr="00A2538E">
              <w:rPr>
                <w:b w:val="0"/>
              </w:rPr>
              <w:t>Council error/incorrect action</w:t>
            </w:r>
          </w:p>
        </w:tc>
        <w:tc>
          <w:tcPr>
            <w:tcW w:w="4621" w:type="dxa"/>
            <w:shd w:val="clear" w:color="auto" w:fill="auto"/>
          </w:tcPr>
          <w:p w14:paraId="21966D00" w14:textId="3E700B33" w:rsidR="00160824" w:rsidRPr="00A2538E" w:rsidRDefault="004C5E79" w:rsidP="00DF1E21">
            <w:pPr>
              <w:pStyle w:val="Heading1"/>
              <w:numPr>
                <w:ilvl w:val="0"/>
                <w:numId w:val="0"/>
              </w:numPr>
              <w:ind w:left="720"/>
              <w:rPr>
                <w:b w:val="0"/>
              </w:rPr>
            </w:pPr>
            <w:r>
              <w:rPr>
                <w:b w:val="0"/>
              </w:rPr>
              <w:t>34</w:t>
            </w:r>
          </w:p>
        </w:tc>
      </w:tr>
    </w:tbl>
    <w:p w14:paraId="21966D02" w14:textId="719B7247" w:rsidR="009765DF" w:rsidRDefault="0014549A" w:rsidP="009765DF">
      <w:pPr>
        <w:pStyle w:val="Heading2"/>
        <w:numPr>
          <w:ilvl w:val="0"/>
          <w:numId w:val="0"/>
        </w:numPr>
        <w:ind w:left="720"/>
      </w:pPr>
      <w:r>
        <w:rPr>
          <w:noProof/>
          <w:lang w:eastAsia="en-GB"/>
        </w:rPr>
        <w:drawing>
          <wp:inline distT="0" distB="0" distL="0" distR="0" wp14:anchorId="737C0A65" wp14:editId="78A7C797">
            <wp:extent cx="4572000" cy="2862262"/>
            <wp:effectExtent l="0" t="0" r="1905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966D03" w14:textId="4B545210" w:rsidR="009765DF" w:rsidRDefault="009765DF" w:rsidP="009765DF">
      <w:pPr>
        <w:pStyle w:val="Heading2"/>
        <w:numPr>
          <w:ilvl w:val="0"/>
          <w:numId w:val="0"/>
        </w:numPr>
        <w:ind w:left="720"/>
      </w:pPr>
      <w:r>
        <w:t>Results for the past four years show that there is a variance across all types of complaints received.</w:t>
      </w:r>
      <w:r w:rsidR="005C6C2F">
        <w:t xml:space="preserve"> </w:t>
      </w:r>
    </w:p>
    <w:p w14:paraId="21966D04" w14:textId="77777777" w:rsidR="00A2538E" w:rsidRDefault="00A2538E" w:rsidP="00A2538E">
      <w:pPr>
        <w:pStyle w:val="Heading2"/>
      </w:pPr>
      <w:r>
        <w:t>Learning points</w:t>
      </w:r>
    </w:p>
    <w:p w14:paraId="21966D05" w14:textId="11ADFA45" w:rsidR="00A2538E" w:rsidRDefault="00A2538E" w:rsidP="00A2538E">
      <w:pPr>
        <w:pStyle w:val="Heading2"/>
        <w:numPr>
          <w:ilvl w:val="0"/>
          <w:numId w:val="0"/>
        </w:numPr>
        <w:ind w:left="720"/>
      </w:pPr>
      <w:r>
        <w:t>The volume of complaints is not always as important as the nature and con</w:t>
      </w:r>
      <w:r w:rsidR="00D227DF">
        <w:t>tent of the complaint received.</w:t>
      </w:r>
      <w:r>
        <w:t xml:space="preserve"> Each complaint can be an opportunity to make changes or service improvements on a small or greater scale.  </w:t>
      </w:r>
      <w:r>
        <w:lastRenderedPageBreak/>
        <w:t>Sometime</w:t>
      </w:r>
      <w:r w:rsidR="00D227DF">
        <w:t>s</w:t>
      </w:r>
      <w:r>
        <w:t xml:space="preserve"> the smallest change can result in the greatest inc</w:t>
      </w:r>
      <w:r w:rsidR="00D227DF">
        <w:t>rease in customer satisfaction.</w:t>
      </w:r>
      <w:r>
        <w:t xml:space="preserve"> Likewise, a complaint is often of crucial importance to an individual and may require a high investment in terms of the time taken to resolve it, but might only achieve a small return in terms of improvements in the wider environment.</w:t>
      </w:r>
    </w:p>
    <w:p w14:paraId="21966D06" w14:textId="77777777" w:rsidR="00A2538E" w:rsidRDefault="00A2538E" w:rsidP="00A2538E">
      <w:pPr>
        <w:pStyle w:val="Heading2"/>
        <w:numPr>
          <w:ilvl w:val="0"/>
          <w:numId w:val="0"/>
        </w:numPr>
        <w:ind w:left="720"/>
      </w:pPr>
      <w:r>
        <w:t>A complaint is not only valuable in terms of service improvements, but also in terms of public relations and general public perception of, and satisfaction with, the organisation.</w:t>
      </w:r>
    </w:p>
    <w:p w14:paraId="21966D07" w14:textId="237CC554" w:rsidR="00A2538E" w:rsidRDefault="00A2538E" w:rsidP="00A2538E">
      <w:pPr>
        <w:pStyle w:val="Heading2"/>
        <w:numPr>
          <w:ilvl w:val="0"/>
          <w:numId w:val="0"/>
        </w:numPr>
        <w:ind w:left="720"/>
      </w:pPr>
      <w:r>
        <w:t xml:space="preserve">Examples of some of the learning points and improvements made as a </w:t>
      </w:r>
      <w:r w:rsidR="001B4141">
        <w:t>result of complaints during 2015/16</w:t>
      </w:r>
      <w:r>
        <w:t xml:space="preserve"> include:</w:t>
      </w:r>
    </w:p>
    <w:p w14:paraId="21966D08" w14:textId="5FFF2227" w:rsidR="00235025" w:rsidRDefault="00A2538E" w:rsidP="00A2538E">
      <w:pPr>
        <w:pStyle w:val="Heading2"/>
        <w:numPr>
          <w:ilvl w:val="0"/>
          <w:numId w:val="21"/>
        </w:numPr>
        <w:ind w:left="1080"/>
      </w:pPr>
      <w:r>
        <w:t>Complaints examples used as training in team meetings</w:t>
      </w:r>
      <w:r w:rsidR="007F3AD2">
        <w:t>.</w:t>
      </w:r>
    </w:p>
    <w:p w14:paraId="09FA76FE" w14:textId="616E4FFA" w:rsidR="007F3AD2" w:rsidRDefault="007F3AD2" w:rsidP="007F3AD2">
      <w:pPr>
        <w:pStyle w:val="Heading2"/>
        <w:numPr>
          <w:ilvl w:val="0"/>
          <w:numId w:val="21"/>
        </w:numPr>
        <w:ind w:left="1080"/>
      </w:pPr>
      <w:r>
        <w:t>One to one training carried out to improve service levels as a result of a complaint.</w:t>
      </w:r>
    </w:p>
    <w:p w14:paraId="21966D0B" w14:textId="3CCFF6AB" w:rsidR="007A1B32" w:rsidRDefault="007F3AD2" w:rsidP="00A2538E">
      <w:pPr>
        <w:pStyle w:val="Heading2"/>
        <w:numPr>
          <w:ilvl w:val="0"/>
          <w:numId w:val="21"/>
        </w:numPr>
        <w:ind w:left="1080"/>
      </w:pPr>
      <w:r>
        <w:t>As a learning point from one complaint received, a r</w:t>
      </w:r>
      <w:r w:rsidR="001B4141">
        <w:t xml:space="preserve">eview </w:t>
      </w:r>
      <w:r w:rsidR="0086401E">
        <w:t xml:space="preserve">will be completed </w:t>
      </w:r>
      <w:r w:rsidR="001B4141">
        <w:t>of The Lights Theatre box office procedures on sending out tickets to customers.</w:t>
      </w:r>
    </w:p>
    <w:p w14:paraId="21966D0E" w14:textId="214FF0E6" w:rsidR="00840675" w:rsidRDefault="0086401E" w:rsidP="00A2538E">
      <w:pPr>
        <w:pStyle w:val="Heading2"/>
        <w:numPr>
          <w:ilvl w:val="0"/>
          <w:numId w:val="21"/>
        </w:numPr>
        <w:ind w:left="1080"/>
      </w:pPr>
      <w:r>
        <w:t>A complaint was received that resulted in a r</w:t>
      </w:r>
      <w:r w:rsidR="00410547">
        <w:t>eview of external pre-enforcement agent procedures to ensure notices are issued correctly.</w:t>
      </w:r>
      <w:r w:rsidR="00840675">
        <w:t xml:space="preserve"> </w:t>
      </w:r>
    </w:p>
    <w:p w14:paraId="21966D10" w14:textId="3E300AA6" w:rsidR="001C05FE" w:rsidRDefault="00410547" w:rsidP="001C05FE">
      <w:pPr>
        <w:pStyle w:val="Heading2"/>
        <w:numPr>
          <w:ilvl w:val="0"/>
          <w:numId w:val="0"/>
        </w:numPr>
        <w:ind w:left="720"/>
      </w:pPr>
      <w:r>
        <w:t>Annexes 1-7</w:t>
      </w:r>
      <w:r w:rsidR="001C05FE">
        <w:t xml:space="preserve"> give further information about specific learning points within individual services.</w:t>
      </w:r>
    </w:p>
    <w:p w14:paraId="21966D11" w14:textId="77777777" w:rsidR="00A2538E" w:rsidRDefault="00A2538E" w:rsidP="00A2538E">
      <w:pPr>
        <w:pStyle w:val="Heading2"/>
      </w:pPr>
      <w:r>
        <w:t>Time taken to respond</w:t>
      </w:r>
    </w:p>
    <w:p w14:paraId="21966D12" w14:textId="102EC71A" w:rsidR="00A2538E" w:rsidRDefault="00A2538E" w:rsidP="00A2538E">
      <w:pPr>
        <w:pStyle w:val="Heading2"/>
        <w:numPr>
          <w:ilvl w:val="0"/>
          <w:numId w:val="0"/>
        </w:numPr>
        <w:ind w:left="720"/>
      </w:pPr>
      <w:r>
        <w:t>The Council’s service standard is to respond in full to a complaint within 10 working days of receipt, or if this is not possible within that time (for example, because of the complexity of the complaint; the number of third parties involved or awaiting additional information), a holding re</w:t>
      </w:r>
      <w:r w:rsidR="00733684">
        <w:t>sponse is sent to the customer.</w:t>
      </w:r>
      <w:r>
        <w:t xml:space="preserve"> Against that target, the overall average length of time taken to respond to the customer at service level </w:t>
      </w:r>
      <w:r w:rsidR="002730AE">
        <w:t>was 7</w:t>
      </w:r>
      <w:r w:rsidRPr="00D32441">
        <w:t xml:space="preserve"> days</w:t>
      </w:r>
      <w:r>
        <w:t>.</w:t>
      </w:r>
      <w:r w:rsidR="004F45E9">
        <w:t xml:space="preserve">  Two complaints</w:t>
      </w:r>
      <w:r w:rsidR="006D79D2">
        <w:t xml:space="preserve"> exceeded </w:t>
      </w:r>
      <w:r w:rsidR="002730AE">
        <w:t>the 10 day average response time</w:t>
      </w:r>
      <w:r w:rsidR="006D79D2">
        <w:t>.</w:t>
      </w:r>
    </w:p>
    <w:p w14:paraId="21966D13" w14:textId="20F61DAC" w:rsidR="00A2538E" w:rsidRDefault="00A2538E" w:rsidP="00A2538E">
      <w:pPr>
        <w:pStyle w:val="Heading2"/>
        <w:numPr>
          <w:ilvl w:val="0"/>
          <w:numId w:val="0"/>
        </w:numPr>
        <w:ind w:left="720"/>
      </w:pPr>
      <w:r>
        <w:t>When a complaint is escalated to stage 2, the Chief Ex</w:t>
      </w:r>
      <w:r w:rsidR="00733684">
        <w:t>ecutive has 15 days to respond.</w:t>
      </w:r>
      <w:r>
        <w:t xml:space="preserve"> Against that target, the overall average length of time taken to respond to the customer </w:t>
      </w:r>
      <w:r w:rsidRPr="00D32441">
        <w:t xml:space="preserve">was </w:t>
      </w:r>
      <w:r w:rsidR="002730AE">
        <w:t>14</w:t>
      </w:r>
      <w:r w:rsidRPr="00D32441">
        <w:t xml:space="preserve"> days.</w:t>
      </w:r>
    </w:p>
    <w:p w14:paraId="21966D14" w14:textId="77777777" w:rsidR="00A2538E" w:rsidRDefault="00A2538E" w:rsidP="00A2538E">
      <w:pPr>
        <w:pStyle w:val="Heading2"/>
      </w:pPr>
      <w:r>
        <w:t>Unreasonable or unreasonably persistent complainants</w:t>
      </w:r>
    </w:p>
    <w:p w14:paraId="21966D15" w14:textId="4B90F101" w:rsidR="00A2538E" w:rsidRDefault="00A2538E" w:rsidP="00A2538E">
      <w:pPr>
        <w:pStyle w:val="Heading2"/>
        <w:numPr>
          <w:ilvl w:val="0"/>
          <w:numId w:val="0"/>
        </w:numPr>
        <w:ind w:left="720"/>
      </w:pPr>
      <w:r>
        <w:t xml:space="preserve">There are currently no complainants determined as vexatious, and no new vexatious complainants </w:t>
      </w:r>
      <w:r w:rsidR="006643A8">
        <w:t>have been determined during 2015/16</w:t>
      </w:r>
      <w:r>
        <w:t>.</w:t>
      </w:r>
    </w:p>
    <w:p w14:paraId="21966D16" w14:textId="77777777" w:rsidR="00917B19" w:rsidRDefault="00917B19" w:rsidP="00A2538E">
      <w:pPr>
        <w:pStyle w:val="Heading2"/>
        <w:numPr>
          <w:ilvl w:val="0"/>
          <w:numId w:val="0"/>
        </w:numPr>
        <w:ind w:left="720"/>
      </w:pPr>
    </w:p>
    <w:p w14:paraId="21966D17" w14:textId="77777777" w:rsidR="001C05FE" w:rsidRDefault="001C05FE" w:rsidP="00A2538E">
      <w:pPr>
        <w:pStyle w:val="Heading2"/>
        <w:numPr>
          <w:ilvl w:val="0"/>
          <w:numId w:val="0"/>
        </w:numPr>
        <w:ind w:left="720"/>
      </w:pPr>
    </w:p>
    <w:p w14:paraId="21966D18" w14:textId="77777777" w:rsidR="001C05FE" w:rsidRDefault="001C05FE" w:rsidP="00A2538E">
      <w:pPr>
        <w:pStyle w:val="Heading2"/>
        <w:numPr>
          <w:ilvl w:val="0"/>
          <w:numId w:val="0"/>
        </w:numPr>
        <w:ind w:left="720"/>
      </w:pPr>
    </w:p>
    <w:p w14:paraId="21966D19" w14:textId="77777777" w:rsidR="001C05FE" w:rsidRPr="00A2538E" w:rsidRDefault="001C05FE" w:rsidP="00A2538E">
      <w:pPr>
        <w:pStyle w:val="Heading2"/>
        <w:numPr>
          <w:ilvl w:val="0"/>
          <w:numId w:val="0"/>
        </w:numPr>
        <w:ind w:left="720"/>
      </w:pPr>
    </w:p>
    <w:p w14:paraId="21966D1A" w14:textId="77777777" w:rsidR="001F35F4" w:rsidRDefault="00A2538E">
      <w:pPr>
        <w:pStyle w:val="Heading1"/>
        <w:keepNext w:val="0"/>
        <w:jc w:val="both"/>
        <w:rPr>
          <w:color w:val="000000"/>
        </w:rPr>
      </w:pPr>
      <w:r>
        <w:rPr>
          <w:color w:val="000000"/>
        </w:rPr>
        <w:lastRenderedPageBreak/>
        <w:t>The Local Government Ombudsman (LGO)</w:t>
      </w:r>
      <w:r w:rsidR="00C36D90" w:rsidRPr="007120D0">
        <w:rPr>
          <w:color w:val="000000"/>
        </w:rPr>
        <w:t xml:space="preserve"> </w:t>
      </w:r>
    </w:p>
    <w:p w14:paraId="21966D1B" w14:textId="0EC6A4B8" w:rsidR="00A2538E" w:rsidRDefault="00E00A23" w:rsidP="00E00A23">
      <w:pPr>
        <w:pStyle w:val="Heading2"/>
        <w:numPr>
          <w:ilvl w:val="0"/>
          <w:numId w:val="0"/>
        </w:numPr>
        <w:ind w:left="720" w:hanging="720"/>
      </w:pPr>
      <w:r>
        <w:t>3.1</w:t>
      </w:r>
      <w:r>
        <w:tab/>
      </w:r>
      <w:r w:rsidR="008D74AB">
        <w:t>The Local Government Ombudsman produces an annual letter which is attached as annex 1.</w:t>
      </w:r>
      <w:r w:rsidR="000402FE">
        <w:t xml:space="preserve"> </w:t>
      </w:r>
      <w:r w:rsidR="008D74AB">
        <w:t>S</w:t>
      </w:r>
      <w:bookmarkStart w:id="1" w:name="_GoBack"/>
      <w:bookmarkEnd w:id="1"/>
      <w:r w:rsidR="008D74AB">
        <w:t>ince 2012 the LGO has</w:t>
      </w:r>
      <w:r>
        <w:t xml:space="preserve"> undergone a series of organisational and procedural </w:t>
      </w:r>
      <w:r w:rsidR="008D74AB">
        <w:t>changes and n</w:t>
      </w:r>
      <w:r>
        <w:t xml:space="preserve">ew ways of working have been phased in over the past two years.  </w:t>
      </w:r>
    </w:p>
    <w:p w14:paraId="2E3D285B" w14:textId="77777777" w:rsidR="008D74AB" w:rsidRDefault="008D74AB" w:rsidP="008D74AB">
      <w:pPr>
        <w:autoSpaceDE w:val="0"/>
        <w:autoSpaceDN w:val="0"/>
        <w:adjustRightInd w:val="0"/>
        <w:spacing w:before="0"/>
      </w:pPr>
    </w:p>
    <w:p w14:paraId="21966D1C" w14:textId="07083163" w:rsidR="00A2538E" w:rsidRPr="008D74AB" w:rsidRDefault="008D74AB" w:rsidP="000402FE">
      <w:pPr>
        <w:autoSpaceDE w:val="0"/>
        <w:autoSpaceDN w:val="0"/>
        <w:adjustRightInd w:val="0"/>
        <w:spacing w:before="0"/>
        <w:ind w:left="720"/>
        <w:jc w:val="both"/>
        <w:rPr>
          <w:rFonts w:cs="Arial"/>
          <w:szCs w:val="24"/>
          <w:lang w:eastAsia="en-GB"/>
        </w:rPr>
      </w:pPr>
      <w:r>
        <w:t>T</w:t>
      </w:r>
      <w:r w:rsidR="00DE455A">
        <w:t>he</w:t>
      </w:r>
      <w:r w:rsidR="00160824">
        <w:t xml:space="preserve"> </w:t>
      </w:r>
      <w:r w:rsidR="00DE455A">
        <w:t xml:space="preserve">new </w:t>
      </w:r>
      <w:r w:rsidR="00A2538E">
        <w:t xml:space="preserve">Government has committed to a review of all public service </w:t>
      </w:r>
      <w:r w:rsidR="0089374A">
        <w:t>Ombudsme</w:t>
      </w:r>
      <w:r w:rsidR="00A2538E" w:rsidRPr="0089374A">
        <w:t>n</w:t>
      </w:r>
      <w:r w:rsidR="00A2538E">
        <w:t xml:space="preserve"> during their term, including the possibility of merging them into one body.</w:t>
      </w:r>
      <w:r>
        <w:t xml:space="preserve"> </w:t>
      </w:r>
      <w:r w:rsidR="00DE455A">
        <w:rPr>
          <w:szCs w:val="24"/>
        </w:rPr>
        <w:t>It is anticipated that draft legislation will be produced</w:t>
      </w:r>
      <w:r w:rsidRPr="008D74AB">
        <w:rPr>
          <w:rFonts w:cs="Arial"/>
          <w:szCs w:val="24"/>
          <w:lang w:eastAsia="en-GB"/>
        </w:rPr>
        <w:t xml:space="preserve"> detailing the creation of a single ombudsman for public services in England</w:t>
      </w:r>
      <w:r w:rsidRPr="008D74AB">
        <w:rPr>
          <w:szCs w:val="24"/>
        </w:rPr>
        <w:t>, and therefore t</w:t>
      </w:r>
      <w:r w:rsidR="00A2538E" w:rsidRPr="008D74AB">
        <w:rPr>
          <w:szCs w:val="24"/>
        </w:rPr>
        <w:t xml:space="preserve">he LGO </w:t>
      </w:r>
      <w:r w:rsidRPr="008D74AB">
        <w:rPr>
          <w:szCs w:val="24"/>
        </w:rPr>
        <w:t>may</w:t>
      </w:r>
      <w:r w:rsidR="00A2538E" w:rsidRPr="008D74AB">
        <w:rPr>
          <w:szCs w:val="24"/>
        </w:rPr>
        <w:t xml:space="preserve"> be subject</w:t>
      </w:r>
      <w:r w:rsidR="008779C1" w:rsidRPr="008D74AB">
        <w:rPr>
          <w:szCs w:val="24"/>
        </w:rPr>
        <w:t xml:space="preserve"> to changes in the future.</w:t>
      </w:r>
    </w:p>
    <w:p w14:paraId="21966D1D" w14:textId="18B64993" w:rsidR="008779C1" w:rsidRDefault="00E00A23" w:rsidP="00E00A23">
      <w:pPr>
        <w:pStyle w:val="Heading2"/>
        <w:numPr>
          <w:ilvl w:val="1"/>
          <w:numId w:val="34"/>
        </w:numPr>
      </w:pPr>
      <w:r>
        <w:t>During the year 2015/16 two</w:t>
      </w:r>
      <w:r w:rsidR="008779C1">
        <w:t xml:space="preserve"> initial complaint enquirie</w:t>
      </w:r>
      <w:r>
        <w:t>s were received from the LGO.  One of these enquiries was</w:t>
      </w:r>
      <w:r w:rsidR="008779C1">
        <w:t xml:space="preserve"> taken forward as a formal investigation </w:t>
      </w:r>
      <w:r>
        <w:t>which was not completed within this financial year.</w:t>
      </w:r>
      <w:r w:rsidR="008779C1">
        <w:t xml:space="preserve"> </w:t>
      </w:r>
      <w:r w:rsidR="00757984">
        <w:t xml:space="preserve">The </w:t>
      </w:r>
      <w:r>
        <w:t>outcome of this investigation will be noted in the 2016/17 annual complaints report</w:t>
      </w:r>
      <w:r w:rsidR="00757984">
        <w:t xml:space="preserve">.  </w:t>
      </w:r>
      <w:r>
        <w:t>The enquiries</w:t>
      </w:r>
      <w:r w:rsidR="008779C1">
        <w:t xml:space="preserve"> are shown below:</w:t>
      </w:r>
    </w:p>
    <w:p w14:paraId="21966D1E" w14:textId="77777777" w:rsidR="00D32441" w:rsidRDefault="00D32441" w:rsidP="00D32441">
      <w:pPr>
        <w:pStyle w:val="Heading2"/>
        <w:numPr>
          <w:ilvl w:val="0"/>
          <w:numId w:val="0"/>
        </w:numPr>
        <w:ind w:left="720"/>
      </w:pPr>
    </w:p>
    <w:tbl>
      <w:tblPr>
        <w:tblW w:w="5007" w:type="pct"/>
        <w:tblLook w:val="0000" w:firstRow="0" w:lastRow="0" w:firstColumn="0" w:lastColumn="0" w:noHBand="0" w:noVBand="0"/>
      </w:tblPr>
      <w:tblGrid>
        <w:gridCol w:w="1065"/>
        <w:gridCol w:w="2852"/>
        <w:gridCol w:w="3372"/>
        <w:gridCol w:w="1875"/>
      </w:tblGrid>
      <w:tr w:rsidR="008779C1" w:rsidRPr="00BD6652" w14:paraId="21966D23" w14:textId="77777777" w:rsidTr="00DC0D3F">
        <w:trPr>
          <w:trHeight w:val="2"/>
          <w:tblHeader/>
        </w:trPr>
        <w:tc>
          <w:tcPr>
            <w:tcW w:w="581" w:type="pct"/>
            <w:tcBorders>
              <w:top w:val="single" w:sz="8" w:space="0" w:color="003A6C"/>
              <w:left w:val="single" w:sz="8" w:space="0" w:color="003A6C"/>
              <w:bottom w:val="single" w:sz="8" w:space="0" w:color="003A6C"/>
              <w:right w:val="single" w:sz="8" w:space="0" w:color="003A6C"/>
            </w:tcBorders>
            <w:shd w:val="clear" w:color="auto" w:fill="003A6C"/>
            <w:tcMar>
              <w:top w:w="40" w:type="dxa"/>
              <w:left w:w="40" w:type="dxa"/>
              <w:bottom w:w="40" w:type="dxa"/>
              <w:right w:w="40" w:type="dxa"/>
            </w:tcMar>
            <w:vAlign w:val="center"/>
          </w:tcPr>
          <w:p w14:paraId="21966D1F" w14:textId="77777777" w:rsidR="008779C1" w:rsidRPr="00BD6652" w:rsidRDefault="008779C1" w:rsidP="00DC0D3F">
            <w:pPr>
              <w:spacing w:before="0"/>
              <w:jc w:val="center"/>
              <w:rPr>
                <w:rFonts w:cs="Arial"/>
                <w:sz w:val="20"/>
              </w:rPr>
            </w:pPr>
            <w:r w:rsidRPr="00BD6652">
              <w:rPr>
                <w:rFonts w:eastAsia="Verdana" w:cs="Arial"/>
                <w:b/>
                <w:color w:val="FFFFFF"/>
                <w:sz w:val="20"/>
              </w:rPr>
              <w:t>Date</w:t>
            </w:r>
          </w:p>
        </w:tc>
        <w:tc>
          <w:tcPr>
            <w:tcW w:w="1556" w:type="pct"/>
            <w:tcBorders>
              <w:top w:val="single" w:sz="8" w:space="0" w:color="003A6C"/>
              <w:left w:val="single" w:sz="8" w:space="0" w:color="003A6C"/>
              <w:bottom w:val="single" w:sz="8" w:space="0" w:color="003A6C"/>
              <w:right w:val="single" w:sz="8" w:space="0" w:color="003A6C"/>
            </w:tcBorders>
            <w:shd w:val="clear" w:color="auto" w:fill="003A6C"/>
            <w:tcMar>
              <w:top w:w="40" w:type="dxa"/>
              <w:left w:w="40" w:type="dxa"/>
              <w:bottom w:w="40" w:type="dxa"/>
              <w:right w:w="40" w:type="dxa"/>
            </w:tcMar>
            <w:vAlign w:val="center"/>
          </w:tcPr>
          <w:p w14:paraId="21966D20" w14:textId="77777777" w:rsidR="008779C1" w:rsidRPr="00BD6652" w:rsidRDefault="008779C1" w:rsidP="00DC0D3F">
            <w:pPr>
              <w:spacing w:before="0"/>
              <w:jc w:val="center"/>
              <w:rPr>
                <w:rFonts w:eastAsia="Verdana" w:cs="Arial"/>
                <w:b/>
                <w:color w:val="FFFFFF"/>
                <w:sz w:val="20"/>
              </w:rPr>
            </w:pPr>
            <w:r w:rsidRPr="00BD6652">
              <w:rPr>
                <w:rFonts w:eastAsia="Verdana" w:cs="Arial"/>
                <w:b/>
                <w:color w:val="FFFFFF"/>
                <w:sz w:val="20"/>
              </w:rPr>
              <w:t>Subject Matter</w:t>
            </w:r>
          </w:p>
        </w:tc>
        <w:tc>
          <w:tcPr>
            <w:tcW w:w="1840" w:type="pct"/>
            <w:tcBorders>
              <w:top w:val="single" w:sz="8" w:space="0" w:color="003A6C"/>
              <w:left w:val="single" w:sz="8" w:space="0" w:color="003A6C"/>
              <w:bottom w:val="single" w:sz="8" w:space="0" w:color="003A6C"/>
              <w:right w:val="single" w:sz="8" w:space="0" w:color="003A6C"/>
            </w:tcBorders>
            <w:shd w:val="clear" w:color="auto" w:fill="003A6C"/>
            <w:tcMar>
              <w:top w:w="40" w:type="dxa"/>
              <w:left w:w="40" w:type="dxa"/>
              <w:bottom w:w="40" w:type="dxa"/>
              <w:right w:w="40" w:type="dxa"/>
            </w:tcMar>
            <w:vAlign w:val="center"/>
          </w:tcPr>
          <w:p w14:paraId="21966D21" w14:textId="77777777" w:rsidR="008779C1" w:rsidRPr="00BD6652" w:rsidRDefault="008779C1" w:rsidP="00DC0D3F">
            <w:pPr>
              <w:spacing w:before="0"/>
              <w:jc w:val="center"/>
              <w:rPr>
                <w:rFonts w:eastAsia="Verdana" w:cs="Arial"/>
                <w:b/>
                <w:color w:val="FFFFFF"/>
                <w:sz w:val="20"/>
              </w:rPr>
            </w:pPr>
            <w:r w:rsidRPr="00BD6652">
              <w:rPr>
                <w:rFonts w:eastAsia="Verdana" w:cs="Arial"/>
                <w:b/>
                <w:color w:val="FFFFFF"/>
                <w:sz w:val="20"/>
              </w:rPr>
              <w:t>Action Taken</w:t>
            </w:r>
          </w:p>
        </w:tc>
        <w:tc>
          <w:tcPr>
            <w:tcW w:w="1023" w:type="pct"/>
            <w:tcBorders>
              <w:top w:val="single" w:sz="8" w:space="0" w:color="003A6C"/>
              <w:left w:val="single" w:sz="8" w:space="0" w:color="003A6C"/>
              <w:bottom w:val="single" w:sz="8" w:space="0" w:color="003A6C"/>
              <w:right w:val="single" w:sz="8" w:space="0" w:color="003A6C"/>
            </w:tcBorders>
            <w:shd w:val="clear" w:color="auto" w:fill="003A6C"/>
            <w:tcMar>
              <w:top w:w="40" w:type="dxa"/>
              <w:left w:w="40" w:type="dxa"/>
              <w:bottom w:w="40" w:type="dxa"/>
              <w:right w:w="40" w:type="dxa"/>
            </w:tcMar>
            <w:vAlign w:val="center"/>
          </w:tcPr>
          <w:p w14:paraId="21966D22" w14:textId="77777777" w:rsidR="008779C1" w:rsidRPr="00BD6652" w:rsidRDefault="008779C1" w:rsidP="00DC0D3F">
            <w:pPr>
              <w:spacing w:before="0"/>
              <w:jc w:val="center"/>
              <w:rPr>
                <w:rFonts w:eastAsia="Verdana" w:cs="Arial"/>
                <w:b/>
                <w:color w:val="FFFFFF"/>
                <w:sz w:val="20"/>
              </w:rPr>
            </w:pPr>
            <w:r w:rsidRPr="00BD6652">
              <w:rPr>
                <w:rFonts w:eastAsia="Verdana" w:cs="Arial"/>
                <w:b/>
                <w:color w:val="FFFFFF"/>
                <w:sz w:val="20"/>
              </w:rPr>
              <w:t>LGO outcome</w:t>
            </w:r>
          </w:p>
        </w:tc>
      </w:tr>
      <w:tr w:rsidR="00D32441" w:rsidRPr="00B72572" w14:paraId="21966D2A" w14:textId="77777777" w:rsidTr="00BE3111">
        <w:trPr>
          <w:trHeight w:val="2"/>
        </w:trPr>
        <w:tc>
          <w:tcPr>
            <w:tcW w:w="581"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5D7E0BC8" w14:textId="77777777" w:rsidR="00BE3111" w:rsidRDefault="00BE3111" w:rsidP="006E227C">
            <w:pPr>
              <w:spacing w:before="0"/>
              <w:rPr>
                <w:rFonts w:eastAsia="Verdana" w:cs="Arial"/>
                <w:sz w:val="22"/>
                <w:szCs w:val="22"/>
              </w:rPr>
            </w:pPr>
          </w:p>
          <w:p w14:paraId="21966D24" w14:textId="385D86D3" w:rsidR="00D32441" w:rsidRDefault="00E00A23" w:rsidP="006E227C">
            <w:pPr>
              <w:spacing w:before="0"/>
              <w:rPr>
                <w:rFonts w:eastAsia="Verdana" w:cs="Arial"/>
                <w:color w:val="000000"/>
                <w:sz w:val="20"/>
              </w:rPr>
            </w:pPr>
            <w:r>
              <w:rPr>
                <w:rFonts w:eastAsia="Verdana" w:cs="Arial"/>
                <w:sz w:val="22"/>
                <w:szCs w:val="22"/>
              </w:rPr>
              <w:t>18-Jan-</w:t>
            </w:r>
            <w:r w:rsidRPr="00AA76CC">
              <w:rPr>
                <w:rFonts w:eastAsia="Verdana" w:cs="Arial"/>
                <w:sz w:val="22"/>
                <w:szCs w:val="22"/>
              </w:rPr>
              <w:t>16</w:t>
            </w:r>
          </w:p>
        </w:tc>
        <w:tc>
          <w:tcPr>
            <w:tcW w:w="1556"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15D06A68" w14:textId="4AF584AF" w:rsidR="00E00A23" w:rsidRPr="00AA76CC" w:rsidRDefault="00E00A23" w:rsidP="00BE3111">
            <w:pPr>
              <w:rPr>
                <w:rFonts w:eastAsia="Verdana" w:cs="Arial"/>
                <w:sz w:val="22"/>
                <w:szCs w:val="22"/>
              </w:rPr>
            </w:pPr>
            <w:r w:rsidRPr="00AA76CC">
              <w:rPr>
                <w:rFonts w:eastAsia="Verdana" w:cs="Arial"/>
                <w:sz w:val="22"/>
                <w:szCs w:val="22"/>
              </w:rPr>
              <w:t>Four fo</w:t>
            </w:r>
            <w:r w:rsidR="006E227C">
              <w:rPr>
                <w:rFonts w:eastAsia="Verdana" w:cs="Arial"/>
                <w:sz w:val="22"/>
                <w:szCs w:val="22"/>
              </w:rPr>
              <w:t>rmal complaints submitted by</w:t>
            </w:r>
            <w:r w:rsidRPr="00AA76CC">
              <w:rPr>
                <w:rFonts w:eastAsia="Verdana" w:cs="Arial"/>
                <w:sz w:val="22"/>
                <w:szCs w:val="22"/>
              </w:rPr>
              <w:t xml:space="preserve"> property owners affected by commercial </w:t>
            </w:r>
            <w:r w:rsidR="006E227C">
              <w:rPr>
                <w:rFonts w:eastAsia="Verdana" w:cs="Arial"/>
                <w:sz w:val="22"/>
                <w:szCs w:val="22"/>
              </w:rPr>
              <w:t>activity</w:t>
            </w:r>
            <w:r w:rsidRPr="00AA76CC">
              <w:rPr>
                <w:rFonts w:eastAsia="Verdana" w:cs="Arial"/>
                <w:sz w:val="22"/>
                <w:szCs w:val="22"/>
              </w:rPr>
              <w:t xml:space="preserve">. Concerns </w:t>
            </w:r>
            <w:r w:rsidR="006E227C">
              <w:rPr>
                <w:rFonts w:eastAsia="Verdana" w:cs="Arial"/>
                <w:sz w:val="22"/>
                <w:szCs w:val="22"/>
              </w:rPr>
              <w:t xml:space="preserve">were </w:t>
            </w:r>
            <w:r w:rsidRPr="00AA76CC">
              <w:rPr>
                <w:rFonts w:eastAsia="Verdana" w:cs="Arial"/>
                <w:sz w:val="22"/>
                <w:szCs w:val="22"/>
              </w:rPr>
              <w:t>raised regarding lack o</w:t>
            </w:r>
            <w:r w:rsidR="006E227C">
              <w:rPr>
                <w:rFonts w:eastAsia="Verdana" w:cs="Arial"/>
                <w:sz w:val="22"/>
                <w:szCs w:val="22"/>
              </w:rPr>
              <w:t xml:space="preserve">f response to previous letter. This was a </w:t>
            </w:r>
            <w:r w:rsidRPr="00AA76CC">
              <w:rPr>
                <w:rFonts w:eastAsia="Verdana" w:cs="Arial"/>
                <w:sz w:val="22"/>
                <w:szCs w:val="22"/>
              </w:rPr>
              <w:t xml:space="preserve">historically complex case with letters previously sent to </w:t>
            </w:r>
            <w:r w:rsidR="006E227C">
              <w:rPr>
                <w:rFonts w:eastAsia="Verdana" w:cs="Arial"/>
                <w:sz w:val="22"/>
                <w:szCs w:val="22"/>
              </w:rPr>
              <w:t>HoS and</w:t>
            </w:r>
            <w:r w:rsidRPr="00AA76CC">
              <w:rPr>
                <w:rFonts w:eastAsia="Verdana" w:cs="Arial"/>
                <w:sz w:val="22"/>
                <w:szCs w:val="22"/>
              </w:rPr>
              <w:t xml:space="preserve"> responded to. </w:t>
            </w:r>
          </w:p>
          <w:p w14:paraId="778EC64F" w14:textId="77777777" w:rsidR="00E00A23" w:rsidRPr="00AA76CC" w:rsidRDefault="00E00A23" w:rsidP="00BE3111">
            <w:pPr>
              <w:rPr>
                <w:rFonts w:eastAsia="Verdana" w:cs="Arial"/>
                <w:b/>
                <w:sz w:val="22"/>
                <w:szCs w:val="22"/>
              </w:rPr>
            </w:pPr>
          </w:p>
          <w:p w14:paraId="21966D25" w14:textId="18B11D4B" w:rsidR="00D32441" w:rsidRDefault="00D32441" w:rsidP="00BE3111">
            <w:pPr>
              <w:spacing w:before="0"/>
              <w:rPr>
                <w:rFonts w:eastAsia="Verdana" w:cs="Arial"/>
                <w:color w:val="000000"/>
                <w:sz w:val="20"/>
              </w:rPr>
            </w:pPr>
          </w:p>
        </w:tc>
        <w:tc>
          <w:tcPr>
            <w:tcW w:w="1840"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13598E9F" w14:textId="4266C171" w:rsidR="00E00A23" w:rsidRDefault="00E00A23" w:rsidP="00BE3111">
            <w:pPr>
              <w:rPr>
                <w:rFonts w:eastAsia="Verdana" w:cs="Arial"/>
                <w:sz w:val="22"/>
                <w:szCs w:val="22"/>
              </w:rPr>
            </w:pPr>
            <w:r w:rsidRPr="00AA76CC">
              <w:rPr>
                <w:rFonts w:eastAsia="Verdana" w:cs="Arial"/>
                <w:sz w:val="22"/>
                <w:szCs w:val="22"/>
              </w:rPr>
              <w:t xml:space="preserve">Apology for delay in response, apology for administrative error and </w:t>
            </w:r>
            <w:r>
              <w:rPr>
                <w:rFonts w:eastAsia="Verdana" w:cs="Arial"/>
                <w:sz w:val="22"/>
                <w:szCs w:val="22"/>
              </w:rPr>
              <w:t>explanation</w:t>
            </w:r>
            <w:r w:rsidRPr="00AA76CC">
              <w:rPr>
                <w:rFonts w:eastAsia="Verdana" w:cs="Arial"/>
                <w:sz w:val="22"/>
                <w:szCs w:val="22"/>
              </w:rPr>
              <w:t xml:space="preserve"> how they have sought legal advice to rectify the situation. The Council decided to serve a Discontinuance Notice in this case in order to try and impose the condition in question. </w:t>
            </w:r>
          </w:p>
          <w:p w14:paraId="7B17F180" w14:textId="77777777" w:rsidR="00BE3111" w:rsidRPr="00AA76CC" w:rsidRDefault="00BE3111" w:rsidP="00BE3111">
            <w:pPr>
              <w:rPr>
                <w:rFonts w:eastAsia="Verdana" w:cs="Arial"/>
                <w:sz w:val="22"/>
                <w:szCs w:val="22"/>
              </w:rPr>
            </w:pPr>
          </w:p>
          <w:p w14:paraId="6098B974" w14:textId="6BD9DED5" w:rsidR="00D32441" w:rsidRDefault="00E00A23" w:rsidP="00BE3111">
            <w:pPr>
              <w:spacing w:before="0"/>
              <w:rPr>
                <w:rFonts w:cs="Arial"/>
                <w:sz w:val="22"/>
                <w:szCs w:val="22"/>
              </w:rPr>
            </w:pPr>
            <w:r w:rsidRPr="006E227C">
              <w:rPr>
                <w:rFonts w:cs="Arial"/>
                <w:sz w:val="22"/>
                <w:szCs w:val="22"/>
              </w:rPr>
              <w:t xml:space="preserve">Explanation </w:t>
            </w:r>
            <w:r w:rsidR="00BE3111">
              <w:rPr>
                <w:rFonts w:cs="Arial"/>
                <w:sz w:val="22"/>
                <w:szCs w:val="22"/>
              </w:rPr>
              <w:t xml:space="preserve">given </w:t>
            </w:r>
            <w:r w:rsidRPr="006E227C">
              <w:rPr>
                <w:rFonts w:cs="Arial"/>
                <w:sz w:val="22"/>
                <w:szCs w:val="22"/>
              </w:rPr>
              <w:t>to LGO that</w:t>
            </w:r>
            <w:r w:rsidR="006E227C">
              <w:rPr>
                <w:rFonts w:cs="Arial"/>
                <w:sz w:val="22"/>
                <w:szCs w:val="22"/>
              </w:rPr>
              <w:t xml:space="preserve"> </w:t>
            </w:r>
            <w:r w:rsidR="00BE3111">
              <w:rPr>
                <w:rFonts w:cs="Arial"/>
                <w:sz w:val="22"/>
                <w:szCs w:val="22"/>
              </w:rPr>
              <w:t xml:space="preserve">the </w:t>
            </w:r>
            <w:r w:rsidR="006E227C">
              <w:rPr>
                <w:rFonts w:cs="Arial"/>
                <w:sz w:val="22"/>
                <w:szCs w:val="22"/>
              </w:rPr>
              <w:t>referral is premature and</w:t>
            </w:r>
            <w:r w:rsidRPr="006E227C">
              <w:rPr>
                <w:rFonts w:cs="Arial"/>
                <w:sz w:val="22"/>
                <w:szCs w:val="22"/>
              </w:rPr>
              <w:t xml:space="preserve"> the next stage would be to escalate this </w:t>
            </w:r>
            <w:r w:rsidR="00BE3111">
              <w:rPr>
                <w:rFonts w:cs="Arial"/>
                <w:sz w:val="22"/>
                <w:szCs w:val="22"/>
              </w:rPr>
              <w:t>to the Chief Executive. However the Chief Executive</w:t>
            </w:r>
            <w:r w:rsidRPr="006E227C">
              <w:rPr>
                <w:rFonts w:cs="Arial"/>
                <w:sz w:val="22"/>
                <w:szCs w:val="22"/>
              </w:rPr>
              <w:t xml:space="preserve"> believes that at this current moment in time, there is little </w:t>
            </w:r>
            <w:r w:rsidR="006E227C" w:rsidRPr="006E227C">
              <w:rPr>
                <w:rFonts w:cs="Arial"/>
                <w:sz w:val="22"/>
                <w:szCs w:val="22"/>
              </w:rPr>
              <w:t>to</w:t>
            </w:r>
            <w:r w:rsidRPr="006E227C">
              <w:rPr>
                <w:rFonts w:cs="Arial"/>
                <w:sz w:val="22"/>
                <w:szCs w:val="22"/>
              </w:rPr>
              <w:t xml:space="preserve"> add that would influence the current status of this complaint, whilst waiting for the Discontinuance Notice to be served</w:t>
            </w:r>
            <w:r w:rsidR="006E227C" w:rsidRPr="006E227C">
              <w:rPr>
                <w:rFonts w:cs="Arial"/>
                <w:sz w:val="22"/>
                <w:szCs w:val="22"/>
              </w:rPr>
              <w:t>.</w:t>
            </w:r>
            <w:r w:rsidRPr="006E227C">
              <w:rPr>
                <w:rFonts w:cs="Arial"/>
                <w:sz w:val="22"/>
                <w:szCs w:val="22"/>
              </w:rPr>
              <w:t xml:space="preserve"> </w:t>
            </w:r>
          </w:p>
          <w:p w14:paraId="5E0F7E04" w14:textId="77777777" w:rsidR="00BE3111" w:rsidRDefault="00BE3111" w:rsidP="00BE3111">
            <w:pPr>
              <w:spacing w:before="0"/>
              <w:rPr>
                <w:rFonts w:cs="Arial"/>
                <w:sz w:val="22"/>
                <w:szCs w:val="22"/>
              </w:rPr>
            </w:pPr>
          </w:p>
          <w:p w14:paraId="1362485B" w14:textId="27C2990A" w:rsidR="00BE3111" w:rsidRPr="00AA76CC" w:rsidRDefault="007E08B5" w:rsidP="00BE3111">
            <w:pPr>
              <w:rPr>
                <w:rFonts w:eastAsia="Verdana" w:cs="Arial"/>
                <w:sz w:val="22"/>
                <w:szCs w:val="22"/>
              </w:rPr>
            </w:pPr>
            <w:r>
              <w:rPr>
                <w:rFonts w:eastAsia="Verdana" w:cs="Arial"/>
                <w:sz w:val="22"/>
                <w:szCs w:val="22"/>
              </w:rPr>
              <w:t xml:space="preserve">NOTE: </w:t>
            </w:r>
            <w:r w:rsidR="00BE3111">
              <w:rPr>
                <w:rFonts w:eastAsia="Verdana" w:cs="Arial"/>
                <w:sz w:val="22"/>
                <w:szCs w:val="22"/>
              </w:rPr>
              <w:t xml:space="preserve">The </w:t>
            </w:r>
            <w:r w:rsidR="00BE3111" w:rsidRPr="00ED482A">
              <w:rPr>
                <w:rFonts w:eastAsia="Verdana" w:cs="Arial"/>
                <w:sz w:val="22"/>
                <w:szCs w:val="22"/>
              </w:rPr>
              <w:t xml:space="preserve">Discontinuance Notice </w:t>
            </w:r>
            <w:r w:rsidR="00BE3111">
              <w:rPr>
                <w:rFonts w:eastAsia="Verdana" w:cs="Arial"/>
                <w:sz w:val="22"/>
                <w:szCs w:val="22"/>
              </w:rPr>
              <w:t>was issued and agreed</w:t>
            </w:r>
            <w:r w:rsidR="00BE3111" w:rsidRPr="00ED482A">
              <w:rPr>
                <w:rFonts w:eastAsia="Verdana" w:cs="Arial"/>
                <w:sz w:val="22"/>
                <w:szCs w:val="22"/>
              </w:rPr>
              <w:t xml:space="preserve"> by the Secretary of State</w:t>
            </w:r>
            <w:r w:rsidR="00BE3111">
              <w:rPr>
                <w:rFonts w:eastAsia="Verdana" w:cs="Arial"/>
                <w:sz w:val="22"/>
                <w:szCs w:val="22"/>
              </w:rPr>
              <w:t>. The neighbour was notified and they thanked the Council for this action.</w:t>
            </w:r>
          </w:p>
          <w:p w14:paraId="21966D26" w14:textId="7FF6435A" w:rsidR="00BE3111" w:rsidRPr="006E227C" w:rsidRDefault="00BE3111" w:rsidP="00BE3111">
            <w:pPr>
              <w:spacing w:before="0"/>
              <w:rPr>
                <w:rFonts w:eastAsia="Verdana" w:cs="Arial"/>
                <w:color w:val="000000"/>
                <w:sz w:val="20"/>
              </w:rPr>
            </w:pPr>
          </w:p>
        </w:tc>
        <w:tc>
          <w:tcPr>
            <w:tcW w:w="1023"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3C7E89ED" w14:textId="77777777" w:rsidR="00BE3111" w:rsidRDefault="00BE3111" w:rsidP="006E227C">
            <w:pPr>
              <w:spacing w:before="0"/>
              <w:rPr>
                <w:rFonts w:eastAsia="Verdana" w:cs="Arial"/>
                <w:b/>
                <w:color w:val="000000"/>
                <w:sz w:val="20"/>
              </w:rPr>
            </w:pPr>
          </w:p>
          <w:p w14:paraId="21966D27" w14:textId="22F56DBB" w:rsidR="00E00A23" w:rsidRDefault="00D32441" w:rsidP="006E227C">
            <w:pPr>
              <w:spacing w:before="0"/>
              <w:rPr>
                <w:rFonts w:eastAsia="Verdana" w:cs="Arial"/>
                <w:b/>
                <w:color w:val="000000"/>
                <w:sz w:val="20"/>
              </w:rPr>
            </w:pPr>
            <w:r>
              <w:rPr>
                <w:rFonts w:eastAsia="Verdana" w:cs="Arial"/>
                <w:b/>
                <w:color w:val="000000"/>
                <w:sz w:val="20"/>
              </w:rPr>
              <w:t xml:space="preserve">Decision: </w:t>
            </w:r>
            <w:r w:rsidR="006E227C" w:rsidRPr="00AA76CC">
              <w:rPr>
                <w:rFonts w:cs="Arial"/>
                <w:b/>
                <w:sz w:val="22"/>
                <w:szCs w:val="22"/>
              </w:rPr>
              <w:t>LGO decision to not investigate because no worthwhile outcome could be achieved at present. Complaint closed.</w:t>
            </w:r>
          </w:p>
          <w:p w14:paraId="21966D29" w14:textId="2431475F" w:rsidR="00D32441" w:rsidRDefault="00D32441" w:rsidP="006E227C">
            <w:pPr>
              <w:spacing w:before="0"/>
              <w:rPr>
                <w:rFonts w:eastAsia="Verdana" w:cs="Arial"/>
                <w:b/>
                <w:color w:val="000000"/>
                <w:sz w:val="20"/>
              </w:rPr>
            </w:pPr>
          </w:p>
        </w:tc>
      </w:tr>
      <w:tr w:rsidR="00D32441" w:rsidRPr="00B72572" w14:paraId="21966D31" w14:textId="77777777" w:rsidTr="006E227C">
        <w:trPr>
          <w:trHeight w:val="2"/>
        </w:trPr>
        <w:tc>
          <w:tcPr>
            <w:tcW w:w="581"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4796EAD2" w14:textId="77777777" w:rsidR="00BE3111" w:rsidRDefault="00BE3111" w:rsidP="006E227C">
            <w:pPr>
              <w:spacing w:before="0"/>
              <w:rPr>
                <w:rFonts w:eastAsia="Verdana" w:cs="Arial"/>
                <w:color w:val="000000"/>
                <w:sz w:val="22"/>
                <w:szCs w:val="22"/>
              </w:rPr>
            </w:pPr>
          </w:p>
          <w:p w14:paraId="21966D2B" w14:textId="0421E7C7" w:rsidR="00D32441" w:rsidRDefault="00E00A23" w:rsidP="006E227C">
            <w:pPr>
              <w:spacing w:before="0"/>
              <w:rPr>
                <w:rFonts w:eastAsia="Verdana" w:cs="Arial"/>
                <w:color w:val="000000"/>
                <w:sz w:val="20"/>
              </w:rPr>
            </w:pPr>
            <w:r w:rsidRPr="00C97E72">
              <w:rPr>
                <w:rFonts w:eastAsia="Verdana" w:cs="Arial"/>
                <w:color w:val="000000"/>
                <w:sz w:val="22"/>
                <w:szCs w:val="22"/>
              </w:rPr>
              <w:t>23-Dec-2015</w:t>
            </w:r>
          </w:p>
        </w:tc>
        <w:tc>
          <w:tcPr>
            <w:tcW w:w="1556"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4A95646D" w14:textId="1961115F" w:rsidR="00E00A23" w:rsidRPr="00C97E72" w:rsidRDefault="006E227C" w:rsidP="006E227C">
            <w:pPr>
              <w:rPr>
                <w:rFonts w:eastAsia="Verdana" w:cs="Arial"/>
                <w:color w:val="000000"/>
                <w:sz w:val="22"/>
                <w:szCs w:val="22"/>
              </w:rPr>
            </w:pPr>
            <w:r>
              <w:rPr>
                <w:rFonts w:eastAsia="Verdana" w:cs="Arial"/>
                <w:color w:val="000000"/>
                <w:sz w:val="22"/>
                <w:szCs w:val="22"/>
              </w:rPr>
              <w:t>Complaint regarding</w:t>
            </w:r>
            <w:r w:rsidR="00E00A23" w:rsidRPr="00C97E72">
              <w:rPr>
                <w:rFonts w:eastAsia="Verdana" w:cs="Arial"/>
                <w:color w:val="000000"/>
                <w:sz w:val="22"/>
                <w:szCs w:val="22"/>
              </w:rPr>
              <w:t xml:space="preserve"> lawn</w:t>
            </w:r>
            <w:r>
              <w:rPr>
                <w:rFonts w:eastAsia="Verdana" w:cs="Arial"/>
                <w:color w:val="000000"/>
                <w:sz w:val="22"/>
                <w:szCs w:val="22"/>
              </w:rPr>
              <w:t xml:space="preserve"> maintenance</w:t>
            </w:r>
            <w:r w:rsidR="00E00A23" w:rsidRPr="00C97E72">
              <w:rPr>
                <w:rFonts w:eastAsia="Verdana" w:cs="Arial"/>
                <w:color w:val="000000"/>
                <w:sz w:val="22"/>
                <w:szCs w:val="22"/>
              </w:rPr>
              <w:t xml:space="preserve"> and </w:t>
            </w:r>
            <w:r>
              <w:rPr>
                <w:rFonts w:eastAsia="Verdana" w:cs="Arial"/>
                <w:color w:val="000000"/>
                <w:sz w:val="22"/>
                <w:szCs w:val="22"/>
              </w:rPr>
              <w:t xml:space="preserve">a </w:t>
            </w:r>
            <w:r w:rsidR="00E00A23" w:rsidRPr="00C97E72">
              <w:rPr>
                <w:rFonts w:eastAsia="Verdana" w:cs="Arial"/>
                <w:color w:val="000000"/>
                <w:sz w:val="22"/>
                <w:szCs w:val="22"/>
              </w:rPr>
              <w:t xml:space="preserve">footpath </w:t>
            </w:r>
            <w:r>
              <w:rPr>
                <w:rFonts w:eastAsia="Verdana" w:cs="Arial"/>
                <w:color w:val="000000"/>
                <w:sz w:val="22"/>
                <w:szCs w:val="22"/>
              </w:rPr>
              <w:lastRenderedPageBreak/>
              <w:t>installed.</w:t>
            </w:r>
          </w:p>
          <w:p w14:paraId="603A7A25" w14:textId="77777777" w:rsidR="00E00A23" w:rsidRPr="00C97E72" w:rsidRDefault="00E00A23" w:rsidP="006E227C">
            <w:pPr>
              <w:rPr>
                <w:rFonts w:eastAsia="Verdana" w:cs="Arial"/>
                <w:color w:val="000000"/>
                <w:sz w:val="22"/>
                <w:szCs w:val="22"/>
              </w:rPr>
            </w:pPr>
            <w:r w:rsidRPr="00C97E72">
              <w:rPr>
                <w:rFonts w:eastAsia="Verdana" w:cs="Arial"/>
                <w:color w:val="000000"/>
                <w:sz w:val="22"/>
                <w:szCs w:val="22"/>
              </w:rPr>
              <w:t>Complainant believed footpath was put in without consent and Council Officer showed unprofessional behaviour.</w:t>
            </w:r>
          </w:p>
          <w:p w14:paraId="21966D2C" w14:textId="5209A25C" w:rsidR="00D32441" w:rsidRDefault="00D32441" w:rsidP="006E227C">
            <w:pPr>
              <w:spacing w:before="0"/>
              <w:rPr>
                <w:rFonts w:eastAsia="Verdana" w:cs="Arial"/>
                <w:color w:val="000000"/>
                <w:sz w:val="20"/>
              </w:rPr>
            </w:pPr>
          </w:p>
        </w:tc>
        <w:tc>
          <w:tcPr>
            <w:tcW w:w="1840"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20A57B4C" w14:textId="24E2A41D" w:rsidR="00E00A23" w:rsidRDefault="00E00A23" w:rsidP="006E227C">
            <w:pPr>
              <w:rPr>
                <w:rFonts w:eastAsia="Verdana" w:cs="Arial"/>
                <w:color w:val="000000"/>
                <w:sz w:val="22"/>
                <w:szCs w:val="22"/>
              </w:rPr>
            </w:pPr>
            <w:r w:rsidRPr="00C97E72">
              <w:rPr>
                <w:rFonts w:eastAsia="Verdana" w:cs="Arial"/>
                <w:color w:val="000000"/>
                <w:sz w:val="22"/>
                <w:szCs w:val="22"/>
              </w:rPr>
              <w:lastRenderedPageBreak/>
              <w:t xml:space="preserve">CEX response letter clarifying process of putting in pathway, </w:t>
            </w:r>
            <w:r w:rsidRPr="00C97E72">
              <w:rPr>
                <w:rFonts w:eastAsia="Verdana" w:cs="Arial"/>
                <w:color w:val="000000"/>
                <w:sz w:val="22"/>
                <w:szCs w:val="22"/>
              </w:rPr>
              <w:lastRenderedPageBreak/>
              <w:t>and confirmation that CEX investigation into complaint showed no inappropriate or unprofessional conduct.</w:t>
            </w:r>
          </w:p>
          <w:p w14:paraId="25BEC39B" w14:textId="77777777" w:rsidR="006E227C" w:rsidRPr="00C97E72" w:rsidRDefault="006E227C" w:rsidP="006E227C">
            <w:pPr>
              <w:rPr>
                <w:rFonts w:eastAsia="Verdana" w:cs="Arial"/>
                <w:color w:val="000000"/>
                <w:sz w:val="22"/>
                <w:szCs w:val="22"/>
              </w:rPr>
            </w:pPr>
          </w:p>
          <w:p w14:paraId="21966D2D" w14:textId="568AC634" w:rsidR="00D32441" w:rsidRDefault="00E00A23" w:rsidP="006E227C">
            <w:pPr>
              <w:spacing w:before="0"/>
              <w:rPr>
                <w:rFonts w:eastAsia="Verdana" w:cs="Arial"/>
                <w:color w:val="000000"/>
                <w:sz w:val="20"/>
              </w:rPr>
            </w:pPr>
            <w:r w:rsidRPr="00C97E72">
              <w:rPr>
                <w:rFonts w:eastAsia="Verdana" w:cs="Arial"/>
                <w:color w:val="000000"/>
                <w:sz w:val="22"/>
                <w:szCs w:val="22"/>
              </w:rPr>
              <w:t xml:space="preserve">This </w:t>
            </w:r>
            <w:r w:rsidR="006E227C">
              <w:rPr>
                <w:rFonts w:eastAsia="Verdana" w:cs="Arial"/>
                <w:color w:val="000000"/>
                <w:sz w:val="22"/>
                <w:szCs w:val="22"/>
              </w:rPr>
              <w:t xml:space="preserve">was escalated to the LGO. </w:t>
            </w:r>
            <w:r w:rsidRPr="00C97E72">
              <w:rPr>
                <w:rFonts w:eastAsia="Verdana" w:cs="Arial"/>
                <w:color w:val="000000"/>
                <w:sz w:val="22"/>
                <w:szCs w:val="22"/>
              </w:rPr>
              <w:t xml:space="preserve">Letter received </w:t>
            </w:r>
            <w:r w:rsidR="006E227C">
              <w:rPr>
                <w:rFonts w:eastAsia="Verdana" w:cs="Arial"/>
                <w:color w:val="000000"/>
                <w:sz w:val="22"/>
                <w:szCs w:val="22"/>
              </w:rPr>
              <w:t xml:space="preserve">notifying of investigation on </w:t>
            </w:r>
            <w:r w:rsidRPr="00C97E72">
              <w:rPr>
                <w:rFonts w:eastAsia="Verdana" w:cs="Arial"/>
                <w:b/>
                <w:color w:val="000000"/>
                <w:sz w:val="22"/>
                <w:szCs w:val="22"/>
              </w:rPr>
              <w:t>24 February 2016</w:t>
            </w:r>
            <w:r w:rsidR="006E227C">
              <w:rPr>
                <w:rFonts w:eastAsia="Verdana" w:cs="Arial"/>
                <w:b/>
                <w:color w:val="000000"/>
                <w:sz w:val="22"/>
                <w:szCs w:val="22"/>
              </w:rPr>
              <w:t>.</w:t>
            </w:r>
          </w:p>
        </w:tc>
        <w:tc>
          <w:tcPr>
            <w:tcW w:w="1023" w:type="pct"/>
            <w:tcBorders>
              <w:top w:val="single" w:sz="8" w:space="0" w:color="003A6C"/>
              <w:left w:val="single" w:sz="8" w:space="0" w:color="003A6C"/>
              <w:bottom w:val="single" w:sz="8" w:space="0" w:color="003A6C"/>
              <w:right w:val="single" w:sz="8" w:space="0" w:color="003A6C"/>
            </w:tcBorders>
            <w:shd w:val="clear" w:color="auto" w:fill="FFFFFF"/>
            <w:tcMar>
              <w:top w:w="40" w:type="dxa"/>
              <w:left w:w="40" w:type="dxa"/>
              <w:bottom w:w="40" w:type="dxa"/>
              <w:right w:w="40" w:type="dxa"/>
            </w:tcMar>
          </w:tcPr>
          <w:p w14:paraId="03BB5B1A" w14:textId="77777777" w:rsidR="00BE3111" w:rsidRDefault="00BE3111" w:rsidP="006E227C">
            <w:pPr>
              <w:spacing w:before="0"/>
              <w:rPr>
                <w:rFonts w:eastAsia="Verdana" w:cs="Arial"/>
                <w:b/>
                <w:color w:val="000000"/>
                <w:sz w:val="20"/>
              </w:rPr>
            </w:pPr>
          </w:p>
          <w:p w14:paraId="21966D2E" w14:textId="7E7A9EDD" w:rsidR="00E00A23" w:rsidRDefault="00B20266" w:rsidP="006E227C">
            <w:pPr>
              <w:spacing w:before="0"/>
              <w:rPr>
                <w:rFonts w:eastAsia="Verdana" w:cs="Arial"/>
                <w:b/>
                <w:color w:val="000000"/>
                <w:sz w:val="20"/>
              </w:rPr>
            </w:pPr>
            <w:r>
              <w:rPr>
                <w:rFonts w:eastAsia="Verdana" w:cs="Arial"/>
                <w:b/>
                <w:color w:val="000000"/>
                <w:sz w:val="20"/>
              </w:rPr>
              <w:t xml:space="preserve">Decision: </w:t>
            </w:r>
            <w:r w:rsidR="00E00A23">
              <w:rPr>
                <w:rFonts w:eastAsia="Verdana" w:cs="Arial"/>
                <w:b/>
                <w:color w:val="000000"/>
                <w:sz w:val="20"/>
              </w:rPr>
              <w:t xml:space="preserve">Investigation </w:t>
            </w:r>
            <w:r w:rsidR="006E227C">
              <w:rPr>
                <w:rFonts w:eastAsia="Verdana" w:cs="Arial"/>
                <w:b/>
                <w:color w:val="000000"/>
                <w:sz w:val="20"/>
              </w:rPr>
              <w:t xml:space="preserve">was </w:t>
            </w:r>
            <w:r w:rsidR="006E227C">
              <w:rPr>
                <w:rFonts w:eastAsia="Verdana" w:cs="Arial"/>
                <w:b/>
                <w:color w:val="000000"/>
                <w:sz w:val="20"/>
              </w:rPr>
              <w:lastRenderedPageBreak/>
              <w:t xml:space="preserve">not completed within 2015/16. </w:t>
            </w:r>
          </w:p>
          <w:p w14:paraId="21966D30" w14:textId="4BC44926" w:rsidR="00B20266" w:rsidRDefault="00B20266" w:rsidP="006E227C">
            <w:pPr>
              <w:spacing w:before="0"/>
              <w:rPr>
                <w:rFonts w:eastAsia="Verdana" w:cs="Arial"/>
                <w:b/>
                <w:color w:val="000000"/>
                <w:sz w:val="20"/>
              </w:rPr>
            </w:pPr>
          </w:p>
        </w:tc>
      </w:tr>
    </w:tbl>
    <w:p w14:paraId="21966D41" w14:textId="77777777" w:rsidR="00B20266" w:rsidRPr="00A2538E" w:rsidRDefault="00B20266" w:rsidP="00B20266">
      <w:pPr>
        <w:pStyle w:val="Heading2"/>
        <w:numPr>
          <w:ilvl w:val="0"/>
          <w:numId w:val="0"/>
        </w:numPr>
      </w:pPr>
    </w:p>
    <w:p w14:paraId="21966D42" w14:textId="77777777" w:rsidR="00C11E48" w:rsidRPr="00C11E48" w:rsidRDefault="008779C1" w:rsidP="008779C1">
      <w:pPr>
        <w:pStyle w:val="Heading1"/>
        <w:keepNext w:val="0"/>
        <w:jc w:val="both"/>
      </w:pPr>
      <w:r w:rsidRPr="00C11E48">
        <w:rPr>
          <w:color w:val="000000"/>
        </w:rPr>
        <w:t>Other matters</w:t>
      </w:r>
    </w:p>
    <w:p w14:paraId="21966D43" w14:textId="77777777" w:rsidR="00931F86" w:rsidRPr="00C11E48" w:rsidRDefault="00C11E48" w:rsidP="00C11E48">
      <w:pPr>
        <w:pStyle w:val="Heading1"/>
        <w:keepNext w:val="0"/>
        <w:numPr>
          <w:ilvl w:val="0"/>
          <w:numId w:val="0"/>
        </w:numPr>
        <w:ind w:left="720" w:hanging="720"/>
        <w:jc w:val="both"/>
        <w:rPr>
          <w:b w:val="0"/>
        </w:rPr>
      </w:pPr>
      <w:r>
        <w:rPr>
          <w:b w:val="0"/>
        </w:rPr>
        <w:t>4.1</w:t>
      </w:r>
      <w:r>
        <w:rPr>
          <w:b w:val="0"/>
        </w:rPr>
        <w:tab/>
      </w:r>
      <w:r w:rsidR="008779C1" w:rsidRPr="00C11E48">
        <w:rPr>
          <w:b w:val="0"/>
        </w:rPr>
        <w:t>The reporting of complaints is embedded in the Council’s performance management process, giving further opportunity for issues to be raised throughout the year, and for wider corporate trends to be identified should they arise.</w:t>
      </w:r>
    </w:p>
    <w:p w14:paraId="21966D44" w14:textId="77777777" w:rsidR="00931F86" w:rsidRDefault="008779C1" w:rsidP="00931F86">
      <w:pPr>
        <w:pStyle w:val="Heading1"/>
      </w:pPr>
      <w:r>
        <w:t>Conclusion</w:t>
      </w:r>
    </w:p>
    <w:p w14:paraId="21966D45" w14:textId="467D30AD" w:rsidR="008779C1" w:rsidRDefault="008779C1" w:rsidP="00810F0E">
      <w:pPr>
        <w:pStyle w:val="Heading2"/>
        <w:numPr>
          <w:ilvl w:val="0"/>
          <w:numId w:val="0"/>
        </w:numPr>
        <w:ind w:left="720"/>
        <w:jc w:val="left"/>
      </w:pPr>
      <w:r>
        <w:t xml:space="preserve">Complaints at service level have remained largely static over the past three years, with </w:t>
      </w:r>
      <w:r w:rsidR="00FA39A5">
        <w:t>a slight decline in complaints recorded in 2015/16.</w:t>
      </w:r>
      <w:r>
        <w:t xml:space="preserve"> The number of complaints escalated to the Chief Executive has </w:t>
      </w:r>
      <w:r w:rsidR="00FA39A5">
        <w:t>decreased and remains low</w:t>
      </w:r>
      <w:r>
        <w:t xml:space="preserve">, with the number of complaints escalated to the LGO also </w:t>
      </w:r>
      <w:r w:rsidR="00FA39A5">
        <w:t xml:space="preserve">decreasing and </w:t>
      </w:r>
      <w:r>
        <w:t>remaining in single figures.</w:t>
      </w:r>
      <w:r w:rsidR="00082E50">
        <w:t xml:space="preserve"> </w:t>
      </w:r>
    </w:p>
    <w:p w14:paraId="21966D46" w14:textId="6A997A55" w:rsidR="00280F66" w:rsidRDefault="00280F66" w:rsidP="008779C1">
      <w:pPr>
        <w:pStyle w:val="Heading2"/>
      </w:pPr>
      <w:r>
        <w:t xml:space="preserve">Electronic ‘chatter’ and complaints raised via alternative technologies such as Twitter and Facebook have been monitored by the Communications Team over the past two years, and will continue to be so, allowing us to continually assess whether </w:t>
      </w:r>
      <w:r w:rsidR="00D227DF">
        <w:t>more formal reporting</w:t>
      </w:r>
      <w:r>
        <w:t xml:space="preserve"> need</w:t>
      </w:r>
      <w:r w:rsidR="00D227DF">
        <w:t>s</w:t>
      </w:r>
      <w:r>
        <w:t xml:space="preserve"> to be put in place for the future.  Currently the number of complaints and negative feedback remains very low so no procedural change is required.  CSU respond to </w:t>
      </w:r>
      <w:proofErr w:type="gramStart"/>
      <w:r>
        <w:t>Twitter</w:t>
      </w:r>
      <w:proofErr w:type="gramEnd"/>
      <w:r>
        <w:t xml:space="preserve"> enquiries and the Communications Team monitor Facebook messages.</w:t>
      </w:r>
    </w:p>
    <w:p w14:paraId="21966D47" w14:textId="0E286182" w:rsidR="00B055D1" w:rsidRDefault="00B055D1" w:rsidP="008779C1">
      <w:pPr>
        <w:pStyle w:val="Heading2"/>
      </w:pPr>
      <w:r>
        <w:t>The consistency of complaints r</w:t>
      </w:r>
      <w:r w:rsidR="00FA39A5">
        <w:t xml:space="preserve">eporting </w:t>
      </w:r>
      <w:r>
        <w:t>suggests that the complaints process continues to work effectively; although obviously there is never room for complacency.</w:t>
      </w:r>
    </w:p>
    <w:p w14:paraId="21966D48" w14:textId="5DCABAD9" w:rsidR="00C36D90" w:rsidRPr="00CE7B27" w:rsidRDefault="00B055D1" w:rsidP="00CE7B27">
      <w:pPr>
        <w:pStyle w:val="Heading2"/>
      </w:pPr>
      <w:r>
        <w:t xml:space="preserve">The Committee is requested to consider the annual </w:t>
      </w:r>
      <w:r w:rsidR="00FA39A5">
        <w:t>complaints report for 2015/16</w:t>
      </w:r>
      <w:r>
        <w:t>, and to endorse the corporate complaints procedure.</w:t>
      </w:r>
    </w:p>
    <w:p w14:paraId="21966D49" w14:textId="77777777" w:rsidR="00C36D90" w:rsidRPr="007120D0" w:rsidRDefault="00C36D90">
      <w:pPr>
        <w:pStyle w:val="Heading2"/>
        <w:keepNext w:val="0"/>
        <w:numPr>
          <w:ilvl w:val="0"/>
          <w:numId w:val="0"/>
        </w:numPr>
        <w:ind w:left="720" w:hanging="720"/>
        <w:rPr>
          <w:color w:val="00000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51"/>
        <w:gridCol w:w="3119"/>
        <w:gridCol w:w="850"/>
        <w:gridCol w:w="3260"/>
      </w:tblGrid>
      <w:tr w:rsidR="001F35F4" w:rsidRPr="007120D0" w14:paraId="21966D4D" w14:textId="77777777">
        <w:tc>
          <w:tcPr>
            <w:tcW w:w="9180" w:type="dxa"/>
            <w:gridSpan w:val="4"/>
          </w:tcPr>
          <w:p w14:paraId="21966D4A" w14:textId="77777777" w:rsidR="001F35F4" w:rsidRPr="007120D0" w:rsidRDefault="001F35F4">
            <w:pPr>
              <w:pStyle w:val="BodyText"/>
              <w:spacing w:before="80"/>
              <w:rPr>
                <w:color w:val="000000"/>
                <w:u w:val="single"/>
              </w:rPr>
            </w:pPr>
            <w:r w:rsidRPr="007120D0">
              <w:rPr>
                <w:color w:val="000000"/>
                <w:u w:val="single"/>
              </w:rPr>
              <w:t>Background Papers (Local Government Act 1972 Section 100D)</w:t>
            </w:r>
          </w:p>
          <w:p w14:paraId="21966D4B" w14:textId="77777777" w:rsidR="001F35F4" w:rsidRPr="007120D0" w:rsidRDefault="001F35F4">
            <w:pPr>
              <w:pStyle w:val="BodyText"/>
              <w:spacing w:before="80" w:after="80"/>
              <w:rPr>
                <w:color w:val="000000"/>
              </w:rPr>
            </w:pPr>
          </w:p>
          <w:p w14:paraId="21966D4C" w14:textId="77777777" w:rsidR="001F35F4" w:rsidRPr="007120D0" w:rsidRDefault="001F35F4">
            <w:pPr>
              <w:pStyle w:val="BodyText"/>
              <w:rPr>
                <w:color w:val="000000"/>
              </w:rPr>
            </w:pPr>
          </w:p>
        </w:tc>
      </w:tr>
      <w:tr w:rsidR="00CD4858" w:rsidRPr="007120D0" w14:paraId="21966D51" w14:textId="77777777">
        <w:trPr>
          <w:trHeight w:val="76"/>
        </w:trPr>
        <w:tc>
          <w:tcPr>
            <w:tcW w:w="9180" w:type="dxa"/>
            <w:gridSpan w:val="4"/>
          </w:tcPr>
          <w:p w14:paraId="21966D4E" w14:textId="77777777" w:rsidR="00CD4858" w:rsidRPr="007120D0" w:rsidRDefault="00CD4858">
            <w:pPr>
              <w:pStyle w:val="BodyText"/>
              <w:spacing w:before="120" w:after="120"/>
              <w:rPr>
                <w:color w:val="000000"/>
              </w:rPr>
            </w:pPr>
            <w:r w:rsidRPr="007120D0">
              <w:rPr>
                <w:color w:val="000000"/>
                <w:u w:val="single"/>
              </w:rPr>
              <w:t>Confidentiality</w:t>
            </w:r>
            <w:r w:rsidRPr="007120D0">
              <w:rPr>
                <w:color w:val="000000"/>
              </w:rPr>
              <w:t xml:space="preserve">  </w:t>
            </w:r>
          </w:p>
          <w:p w14:paraId="21966D4F" w14:textId="77777777" w:rsidR="0025715D" w:rsidRPr="007120D0" w:rsidRDefault="009B227B" w:rsidP="009B227B">
            <w:pPr>
              <w:pStyle w:val="BodyText"/>
              <w:spacing w:before="120" w:after="120"/>
              <w:rPr>
                <w:color w:val="000000"/>
              </w:rPr>
            </w:pPr>
            <w:r w:rsidRPr="007120D0">
              <w:rPr>
                <w:color w:val="000000"/>
              </w:rPr>
              <w:t>It</w:t>
            </w:r>
            <w:r w:rsidR="0025715D" w:rsidRPr="007120D0">
              <w:rPr>
                <w:color w:val="000000"/>
              </w:rPr>
              <w:t xml:space="preserve"> is considered that this report </w:t>
            </w:r>
            <w:r w:rsidR="0027555E" w:rsidRPr="007120D0">
              <w:rPr>
                <w:color w:val="000000"/>
              </w:rPr>
              <w:t xml:space="preserve">does not contain exempt information within the meaning of Schedule 12A of the Local Government Act 1972, as amended, and </w:t>
            </w:r>
            <w:r w:rsidR="0025715D" w:rsidRPr="007120D0">
              <w:rPr>
                <w:color w:val="000000"/>
              </w:rPr>
              <w:t xml:space="preserve">can be </w:t>
            </w:r>
            <w:r w:rsidR="0027555E" w:rsidRPr="007120D0">
              <w:rPr>
                <w:color w:val="000000"/>
              </w:rPr>
              <w:t>made public.</w:t>
            </w:r>
          </w:p>
          <w:p w14:paraId="21966D50" w14:textId="77777777" w:rsidR="00CD4858" w:rsidRPr="007120D0" w:rsidRDefault="00CD4858" w:rsidP="00985835">
            <w:pPr>
              <w:pStyle w:val="BodyText"/>
              <w:spacing w:before="120" w:after="120"/>
              <w:rPr>
                <w:color w:val="000000"/>
              </w:rPr>
            </w:pPr>
          </w:p>
        </w:tc>
      </w:tr>
      <w:tr w:rsidR="00985835" w14:paraId="21966D54" w14:textId="77777777">
        <w:trPr>
          <w:trHeight w:val="76"/>
        </w:trPr>
        <w:tc>
          <w:tcPr>
            <w:tcW w:w="1951" w:type="dxa"/>
          </w:tcPr>
          <w:p w14:paraId="21966D52" w14:textId="77777777" w:rsidR="00985835" w:rsidRDefault="00985835" w:rsidP="00985835">
            <w:pPr>
              <w:pStyle w:val="BodyText"/>
              <w:spacing w:before="120" w:after="120"/>
            </w:pPr>
            <w:r>
              <w:lastRenderedPageBreak/>
              <w:t>No of Annexes:</w:t>
            </w:r>
          </w:p>
        </w:tc>
        <w:tc>
          <w:tcPr>
            <w:tcW w:w="7229" w:type="dxa"/>
            <w:gridSpan w:val="3"/>
          </w:tcPr>
          <w:p w14:paraId="21966D53" w14:textId="6C4C613A" w:rsidR="00985835" w:rsidRDefault="008D74AB" w:rsidP="00985835">
            <w:pPr>
              <w:pStyle w:val="BodyText"/>
              <w:spacing w:before="120" w:after="120"/>
            </w:pPr>
            <w:r>
              <w:t>8</w:t>
            </w:r>
          </w:p>
        </w:tc>
      </w:tr>
      <w:tr w:rsidR="00985835" w14:paraId="21966D59" w14:textId="77777777">
        <w:trPr>
          <w:cantSplit/>
        </w:trPr>
        <w:tc>
          <w:tcPr>
            <w:tcW w:w="1951" w:type="dxa"/>
          </w:tcPr>
          <w:p w14:paraId="21966D55" w14:textId="77777777" w:rsidR="00985835" w:rsidRDefault="00985835" w:rsidP="00985835">
            <w:pPr>
              <w:spacing w:before="120" w:after="120"/>
              <w:jc w:val="both"/>
            </w:pPr>
            <w:r>
              <w:t>Author:</w:t>
            </w:r>
          </w:p>
        </w:tc>
        <w:tc>
          <w:tcPr>
            <w:tcW w:w="3119" w:type="dxa"/>
          </w:tcPr>
          <w:p w14:paraId="21966D56" w14:textId="05CC0DD9" w:rsidR="00985835" w:rsidRDefault="00FA39A5" w:rsidP="00CE7B27">
            <w:pPr>
              <w:spacing w:before="120" w:after="120"/>
            </w:pPr>
            <w:r>
              <w:t>Rebecca Rodford</w:t>
            </w:r>
          </w:p>
        </w:tc>
        <w:tc>
          <w:tcPr>
            <w:tcW w:w="850" w:type="dxa"/>
          </w:tcPr>
          <w:p w14:paraId="21966D57" w14:textId="77777777" w:rsidR="00985835" w:rsidRDefault="00985835" w:rsidP="00985835">
            <w:pPr>
              <w:spacing w:before="120" w:after="120"/>
              <w:jc w:val="both"/>
            </w:pPr>
            <w:r>
              <w:t>Ext:</w:t>
            </w:r>
          </w:p>
        </w:tc>
        <w:tc>
          <w:tcPr>
            <w:tcW w:w="3260" w:type="dxa"/>
          </w:tcPr>
          <w:p w14:paraId="21966D58" w14:textId="77777777" w:rsidR="00985835" w:rsidRDefault="00CE7B27" w:rsidP="00985835">
            <w:pPr>
              <w:spacing w:before="120" w:after="120"/>
              <w:jc w:val="both"/>
            </w:pPr>
            <w:r>
              <w:t>8109</w:t>
            </w:r>
          </w:p>
        </w:tc>
      </w:tr>
      <w:tr w:rsidR="00985835" w14:paraId="21966D5C" w14:textId="77777777">
        <w:trPr>
          <w:cantSplit/>
        </w:trPr>
        <w:tc>
          <w:tcPr>
            <w:tcW w:w="1951" w:type="dxa"/>
          </w:tcPr>
          <w:p w14:paraId="21966D5A" w14:textId="77777777" w:rsidR="00985835" w:rsidRDefault="00985835" w:rsidP="00985835">
            <w:pPr>
              <w:spacing w:before="120" w:after="120"/>
              <w:jc w:val="both"/>
            </w:pPr>
            <w:r>
              <w:t>File Ref:</w:t>
            </w:r>
          </w:p>
        </w:tc>
        <w:tc>
          <w:tcPr>
            <w:tcW w:w="7229" w:type="dxa"/>
            <w:gridSpan w:val="3"/>
          </w:tcPr>
          <w:p w14:paraId="21966D5B" w14:textId="77777777" w:rsidR="00985835" w:rsidRDefault="00985835" w:rsidP="00985835">
            <w:pPr>
              <w:spacing w:before="120" w:after="120"/>
              <w:jc w:val="both"/>
            </w:pPr>
          </w:p>
        </w:tc>
      </w:tr>
      <w:tr w:rsidR="00985835" w14:paraId="21966D61" w14:textId="77777777">
        <w:tc>
          <w:tcPr>
            <w:tcW w:w="1951" w:type="dxa"/>
          </w:tcPr>
          <w:p w14:paraId="21966D5D" w14:textId="77777777" w:rsidR="00985835" w:rsidRDefault="00985835" w:rsidP="00985835">
            <w:pPr>
              <w:spacing w:before="120" w:after="120"/>
              <w:jc w:val="both"/>
            </w:pPr>
            <w:r>
              <w:t>Report to:</w:t>
            </w:r>
          </w:p>
        </w:tc>
        <w:tc>
          <w:tcPr>
            <w:tcW w:w="3119" w:type="dxa"/>
          </w:tcPr>
          <w:p w14:paraId="21966D5E" w14:textId="77777777" w:rsidR="00985835" w:rsidRDefault="00CE7B27" w:rsidP="00985835">
            <w:pPr>
              <w:spacing w:before="120" w:after="120"/>
              <w:jc w:val="both"/>
            </w:pPr>
            <w:r>
              <w:t>Overview and Scrutiny Committee</w:t>
            </w:r>
          </w:p>
        </w:tc>
        <w:tc>
          <w:tcPr>
            <w:tcW w:w="850" w:type="dxa"/>
          </w:tcPr>
          <w:p w14:paraId="21966D5F" w14:textId="77777777" w:rsidR="00985835" w:rsidRDefault="00985835" w:rsidP="00985835">
            <w:pPr>
              <w:spacing w:before="120" w:after="120"/>
              <w:jc w:val="both"/>
            </w:pPr>
            <w:r>
              <w:t>Date:</w:t>
            </w:r>
          </w:p>
        </w:tc>
        <w:tc>
          <w:tcPr>
            <w:tcW w:w="3260" w:type="dxa"/>
          </w:tcPr>
          <w:p w14:paraId="21966D60" w14:textId="0F87DBFC" w:rsidR="00985835" w:rsidRDefault="00CE7B27" w:rsidP="00985835">
            <w:pPr>
              <w:spacing w:before="120" w:after="120"/>
              <w:jc w:val="both"/>
            </w:pPr>
            <w:r>
              <w:t xml:space="preserve"> </w:t>
            </w:r>
            <w:r w:rsidR="005C6C2F">
              <w:t xml:space="preserve">3 August </w:t>
            </w:r>
            <w:r>
              <w:t>201</w:t>
            </w:r>
            <w:r w:rsidR="00FA39A5">
              <w:t>6</w:t>
            </w:r>
          </w:p>
        </w:tc>
      </w:tr>
    </w:tbl>
    <w:p w14:paraId="21966D62" w14:textId="77777777" w:rsidR="001F35F4" w:rsidRDefault="001F35F4">
      <w:pPr>
        <w:jc w:val="both"/>
        <w:rPr>
          <w:color w:val="000000"/>
        </w:rPr>
      </w:pPr>
    </w:p>
    <w:p w14:paraId="21966D63" w14:textId="77777777" w:rsidR="00985835" w:rsidRDefault="00985835">
      <w:pPr>
        <w:jc w:val="both"/>
        <w:rPr>
          <w:color w:val="000000"/>
        </w:rPr>
      </w:pPr>
    </w:p>
    <w:p w14:paraId="21966D64" w14:textId="77777777" w:rsidR="00985835" w:rsidRDefault="00985835">
      <w:pPr>
        <w:jc w:val="both"/>
        <w:rPr>
          <w:color w:val="000000"/>
        </w:rPr>
      </w:pPr>
    </w:p>
    <w:p w14:paraId="21966D65" w14:textId="77777777" w:rsidR="00985835" w:rsidRPr="007120D0" w:rsidRDefault="00985835">
      <w:pPr>
        <w:jc w:val="both"/>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1F35F4" w:rsidRPr="007120D0" w14:paraId="21966D69" w14:textId="77777777">
        <w:trPr>
          <w:trHeight w:val="1210"/>
        </w:trPr>
        <w:tc>
          <w:tcPr>
            <w:tcW w:w="9180" w:type="dxa"/>
          </w:tcPr>
          <w:p w14:paraId="21966D66" w14:textId="77777777" w:rsidR="00480A39" w:rsidRDefault="001F35F4">
            <w:pPr>
              <w:pStyle w:val="Heading2"/>
              <w:numPr>
                <w:ilvl w:val="0"/>
                <w:numId w:val="0"/>
              </w:numPr>
              <w:rPr>
                <w:b/>
                <w:color w:val="000000"/>
              </w:rPr>
            </w:pPr>
            <w:r w:rsidRPr="007120D0">
              <w:rPr>
                <w:b/>
                <w:color w:val="000000"/>
              </w:rPr>
              <w:t>Brief Description</w:t>
            </w:r>
            <w:r w:rsidR="00480A39">
              <w:rPr>
                <w:b/>
                <w:color w:val="000000"/>
              </w:rPr>
              <w:t>:</w:t>
            </w:r>
          </w:p>
          <w:p w14:paraId="21966D67" w14:textId="3A060AE4" w:rsidR="001F35F4" w:rsidRPr="00480A39" w:rsidRDefault="00480A39">
            <w:pPr>
              <w:pStyle w:val="Heading2"/>
              <w:numPr>
                <w:ilvl w:val="0"/>
                <w:numId w:val="0"/>
              </w:numPr>
              <w:rPr>
                <w:color w:val="000000"/>
              </w:rPr>
            </w:pPr>
            <w:r w:rsidRPr="00480A39">
              <w:rPr>
                <w:color w:val="000000"/>
              </w:rPr>
              <w:t>Annual summary of complaints dealt with under the Cou</w:t>
            </w:r>
            <w:r w:rsidR="00FA39A5">
              <w:rPr>
                <w:color w:val="000000"/>
              </w:rPr>
              <w:t>ncil’s formalised procedure 2015/16</w:t>
            </w:r>
            <w:r w:rsidRPr="00480A39">
              <w:rPr>
                <w:color w:val="000000"/>
              </w:rPr>
              <w:t xml:space="preserve"> for consideration by the Overview and Scrutiny Committee.</w:t>
            </w:r>
          </w:p>
          <w:p w14:paraId="21966D68" w14:textId="77777777" w:rsidR="001F35F4" w:rsidRPr="007120D0" w:rsidRDefault="001F35F4">
            <w:pPr>
              <w:jc w:val="both"/>
              <w:rPr>
                <w:color w:val="000000"/>
              </w:rPr>
            </w:pPr>
          </w:p>
        </w:tc>
      </w:tr>
    </w:tbl>
    <w:p w14:paraId="21966D6A" w14:textId="77777777" w:rsidR="001F35F4" w:rsidRPr="007120D0" w:rsidRDefault="001F35F4">
      <w:pPr>
        <w:jc w:val="both"/>
        <w:rPr>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204"/>
        <w:gridCol w:w="3038"/>
      </w:tblGrid>
      <w:tr w:rsidR="001F35F4" w:rsidRPr="007120D0" w14:paraId="21966D6D" w14:textId="77777777">
        <w:trPr>
          <w:trHeight w:val="458"/>
        </w:trPr>
        <w:tc>
          <w:tcPr>
            <w:tcW w:w="6204" w:type="dxa"/>
            <w:vAlign w:val="center"/>
          </w:tcPr>
          <w:p w14:paraId="21966D6B" w14:textId="77777777" w:rsidR="001F35F4" w:rsidRPr="007120D0" w:rsidRDefault="001F35F4">
            <w:pPr>
              <w:spacing w:before="0"/>
              <w:jc w:val="both"/>
              <w:rPr>
                <w:color w:val="000000"/>
                <w:u w:val="single"/>
              </w:rPr>
            </w:pPr>
            <w:r w:rsidRPr="007120D0">
              <w:rPr>
                <w:color w:val="000000"/>
                <w:u w:val="single"/>
              </w:rPr>
              <w:t>Have you taken the following into consideration?</w:t>
            </w:r>
          </w:p>
        </w:tc>
        <w:tc>
          <w:tcPr>
            <w:tcW w:w="3038" w:type="dxa"/>
            <w:vAlign w:val="center"/>
          </w:tcPr>
          <w:p w14:paraId="21966D6C" w14:textId="77777777" w:rsidR="001F35F4" w:rsidRPr="007120D0" w:rsidRDefault="001F35F4">
            <w:pPr>
              <w:spacing w:before="0"/>
              <w:jc w:val="center"/>
              <w:rPr>
                <w:color w:val="000000"/>
              </w:rPr>
            </w:pPr>
            <w:r w:rsidRPr="007120D0">
              <w:rPr>
                <w:color w:val="000000"/>
              </w:rPr>
              <w:t>Yes/No</w:t>
            </w:r>
          </w:p>
        </w:tc>
      </w:tr>
      <w:tr w:rsidR="001F35F4" w:rsidRPr="007120D0" w14:paraId="21966D70" w14:textId="77777777">
        <w:trPr>
          <w:trHeight w:val="458"/>
        </w:trPr>
        <w:tc>
          <w:tcPr>
            <w:tcW w:w="6204" w:type="dxa"/>
            <w:vAlign w:val="center"/>
          </w:tcPr>
          <w:p w14:paraId="21966D6E" w14:textId="77777777" w:rsidR="001F35F4" w:rsidRPr="007120D0" w:rsidRDefault="001F35F4">
            <w:pPr>
              <w:spacing w:before="0"/>
              <w:jc w:val="both"/>
              <w:rPr>
                <w:color w:val="000000"/>
              </w:rPr>
            </w:pPr>
            <w:r w:rsidRPr="007120D0">
              <w:rPr>
                <w:color w:val="000000"/>
              </w:rPr>
              <w:t>Policy Framework/Council’s Strategic Priorities</w:t>
            </w:r>
          </w:p>
        </w:tc>
        <w:tc>
          <w:tcPr>
            <w:tcW w:w="3038" w:type="dxa"/>
            <w:vAlign w:val="center"/>
          </w:tcPr>
          <w:p w14:paraId="21966D6F" w14:textId="77777777" w:rsidR="001F35F4" w:rsidRPr="007120D0" w:rsidRDefault="00480A39">
            <w:pPr>
              <w:spacing w:before="0"/>
              <w:jc w:val="center"/>
              <w:rPr>
                <w:color w:val="000000"/>
              </w:rPr>
            </w:pPr>
            <w:r>
              <w:rPr>
                <w:color w:val="000000"/>
              </w:rPr>
              <w:t>Yes</w:t>
            </w:r>
          </w:p>
        </w:tc>
      </w:tr>
      <w:tr w:rsidR="001F35F4" w:rsidRPr="007120D0" w14:paraId="21966D73" w14:textId="77777777">
        <w:trPr>
          <w:trHeight w:val="458"/>
        </w:trPr>
        <w:tc>
          <w:tcPr>
            <w:tcW w:w="6204" w:type="dxa"/>
            <w:vAlign w:val="center"/>
          </w:tcPr>
          <w:p w14:paraId="21966D71" w14:textId="77777777" w:rsidR="001F35F4" w:rsidRPr="007120D0" w:rsidRDefault="001F35F4">
            <w:pPr>
              <w:spacing w:before="0"/>
              <w:jc w:val="both"/>
              <w:rPr>
                <w:color w:val="000000"/>
              </w:rPr>
            </w:pPr>
            <w:r w:rsidRPr="007120D0">
              <w:rPr>
                <w:color w:val="000000"/>
              </w:rPr>
              <w:t>Key Decisions</w:t>
            </w:r>
          </w:p>
        </w:tc>
        <w:tc>
          <w:tcPr>
            <w:tcW w:w="3038" w:type="dxa"/>
            <w:vAlign w:val="center"/>
          </w:tcPr>
          <w:p w14:paraId="21966D72" w14:textId="77777777" w:rsidR="001F35F4" w:rsidRPr="007120D0" w:rsidRDefault="00480A39">
            <w:pPr>
              <w:spacing w:before="0"/>
              <w:jc w:val="center"/>
              <w:rPr>
                <w:color w:val="000000"/>
              </w:rPr>
            </w:pPr>
            <w:r>
              <w:rPr>
                <w:color w:val="000000"/>
              </w:rPr>
              <w:t>Yes</w:t>
            </w:r>
          </w:p>
        </w:tc>
      </w:tr>
      <w:tr w:rsidR="001F35F4" w:rsidRPr="007120D0" w14:paraId="21966D76" w14:textId="77777777">
        <w:trPr>
          <w:trHeight w:val="458"/>
        </w:trPr>
        <w:tc>
          <w:tcPr>
            <w:tcW w:w="6204" w:type="dxa"/>
            <w:vAlign w:val="center"/>
          </w:tcPr>
          <w:p w14:paraId="21966D74" w14:textId="77777777" w:rsidR="001F35F4" w:rsidRPr="007120D0" w:rsidRDefault="001F35F4">
            <w:pPr>
              <w:spacing w:before="0"/>
              <w:jc w:val="both"/>
              <w:rPr>
                <w:color w:val="000000"/>
              </w:rPr>
            </w:pPr>
            <w:r w:rsidRPr="007120D0">
              <w:rPr>
                <w:color w:val="000000"/>
              </w:rPr>
              <w:t>Community Safety Issues</w:t>
            </w:r>
          </w:p>
        </w:tc>
        <w:tc>
          <w:tcPr>
            <w:tcW w:w="3038" w:type="dxa"/>
            <w:vAlign w:val="center"/>
          </w:tcPr>
          <w:p w14:paraId="21966D75" w14:textId="77777777" w:rsidR="001F35F4" w:rsidRPr="007120D0" w:rsidRDefault="00480A39">
            <w:pPr>
              <w:spacing w:before="0"/>
              <w:jc w:val="center"/>
              <w:rPr>
                <w:color w:val="000000"/>
              </w:rPr>
            </w:pPr>
            <w:r>
              <w:rPr>
                <w:color w:val="000000"/>
              </w:rPr>
              <w:t>Yes</w:t>
            </w:r>
          </w:p>
        </w:tc>
      </w:tr>
      <w:tr w:rsidR="001F35F4" w:rsidRPr="007120D0" w14:paraId="21966D79" w14:textId="77777777">
        <w:trPr>
          <w:trHeight w:val="458"/>
        </w:trPr>
        <w:tc>
          <w:tcPr>
            <w:tcW w:w="6204" w:type="dxa"/>
            <w:vAlign w:val="center"/>
          </w:tcPr>
          <w:p w14:paraId="21966D77" w14:textId="77777777" w:rsidR="001F35F4" w:rsidRPr="007120D0" w:rsidRDefault="001F35F4">
            <w:pPr>
              <w:spacing w:before="0"/>
              <w:jc w:val="both"/>
              <w:rPr>
                <w:color w:val="000000"/>
              </w:rPr>
            </w:pPr>
            <w:r w:rsidRPr="007120D0">
              <w:rPr>
                <w:color w:val="000000"/>
              </w:rPr>
              <w:t>Equality Issues</w:t>
            </w:r>
          </w:p>
        </w:tc>
        <w:tc>
          <w:tcPr>
            <w:tcW w:w="3038" w:type="dxa"/>
            <w:vAlign w:val="center"/>
          </w:tcPr>
          <w:p w14:paraId="21966D78" w14:textId="77777777" w:rsidR="001F35F4" w:rsidRPr="007120D0" w:rsidRDefault="00480A39">
            <w:pPr>
              <w:spacing w:before="0"/>
              <w:jc w:val="center"/>
              <w:rPr>
                <w:color w:val="000000"/>
              </w:rPr>
            </w:pPr>
            <w:r>
              <w:rPr>
                <w:color w:val="000000"/>
              </w:rPr>
              <w:t>Yes</w:t>
            </w:r>
          </w:p>
        </w:tc>
      </w:tr>
      <w:tr w:rsidR="001F35F4" w:rsidRPr="007120D0" w14:paraId="21966D7C" w14:textId="77777777">
        <w:trPr>
          <w:trHeight w:val="458"/>
        </w:trPr>
        <w:tc>
          <w:tcPr>
            <w:tcW w:w="6204" w:type="dxa"/>
            <w:vAlign w:val="center"/>
          </w:tcPr>
          <w:p w14:paraId="21966D7A" w14:textId="77777777" w:rsidR="001F35F4" w:rsidRPr="007120D0" w:rsidRDefault="00D26155">
            <w:pPr>
              <w:spacing w:before="0"/>
              <w:jc w:val="both"/>
              <w:rPr>
                <w:color w:val="000000"/>
              </w:rPr>
            </w:pPr>
            <w:r w:rsidRPr="007120D0">
              <w:rPr>
                <w:color w:val="000000"/>
              </w:rPr>
              <w:t>Risk Management</w:t>
            </w:r>
          </w:p>
        </w:tc>
        <w:tc>
          <w:tcPr>
            <w:tcW w:w="3038" w:type="dxa"/>
            <w:vAlign w:val="center"/>
          </w:tcPr>
          <w:p w14:paraId="21966D7B" w14:textId="77777777" w:rsidR="001F35F4" w:rsidRPr="007120D0" w:rsidRDefault="00480A39">
            <w:pPr>
              <w:spacing w:before="0"/>
              <w:jc w:val="center"/>
              <w:rPr>
                <w:color w:val="000000"/>
              </w:rPr>
            </w:pPr>
            <w:r>
              <w:rPr>
                <w:color w:val="000000"/>
              </w:rPr>
              <w:t>Yes</w:t>
            </w:r>
          </w:p>
        </w:tc>
      </w:tr>
      <w:tr w:rsidR="001F35F4" w:rsidRPr="007120D0" w14:paraId="21966D7F" w14:textId="77777777">
        <w:trPr>
          <w:trHeight w:val="458"/>
        </w:trPr>
        <w:tc>
          <w:tcPr>
            <w:tcW w:w="6204" w:type="dxa"/>
            <w:vAlign w:val="center"/>
          </w:tcPr>
          <w:p w14:paraId="21966D7D" w14:textId="77777777" w:rsidR="001F35F4" w:rsidRPr="007120D0" w:rsidRDefault="001F35F4">
            <w:pPr>
              <w:spacing w:before="0"/>
              <w:jc w:val="both"/>
              <w:rPr>
                <w:color w:val="000000"/>
              </w:rPr>
            </w:pPr>
            <w:r w:rsidRPr="007120D0">
              <w:rPr>
                <w:color w:val="000000"/>
              </w:rPr>
              <w:t>Environmental Health/Sustainability</w:t>
            </w:r>
          </w:p>
        </w:tc>
        <w:tc>
          <w:tcPr>
            <w:tcW w:w="3038" w:type="dxa"/>
            <w:vAlign w:val="center"/>
          </w:tcPr>
          <w:p w14:paraId="21966D7E" w14:textId="77777777" w:rsidR="001F35F4" w:rsidRPr="007120D0" w:rsidRDefault="00480A39">
            <w:pPr>
              <w:spacing w:before="0"/>
              <w:jc w:val="center"/>
              <w:rPr>
                <w:color w:val="000000"/>
              </w:rPr>
            </w:pPr>
            <w:r>
              <w:rPr>
                <w:color w:val="000000"/>
              </w:rPr>
              <w:t>Yes</w:t>
            </w:r>
          </w:p>
        </w:tc>
      </w:tr>
      <w:tr w:rsidR="001F35F4" w:rsidRPr="007120D0" w14:paraId="21966D82" w14:textId="77777777">
        <w:trPr>
          <w:trHeight w:val="458"/>
        </w:trPr>
        <w:tc>
          <w:tcPr>
            <w:tcW w:w="6204" w:type="dxa"/>
            <w:vAlign w:val="center"/>
          </w:tcPr>
          <w:p w14:paraId="21966D80" w14:textId="77777777" w:rsidR="001F35F4" w:rsidRPr="007120D0" w:rsidRDefault="001F35F4">
            <w:pPr>
              <w:spacing w:before="0"/>
              <w:jc w:val="both"/>
              <w:rPr>
                <w:color w:val="000000"/>
              </w:rPr>
            </w:pPr>
            <w:r w:rsidRPr="007120D0">
              <w:rPr>
                <w:color w:val="000000"/>
              </w:rPr>
              <w:t>Property/Accommodation Implications</w:t>
            </w:r>
          </w:p>
        </w:tc>
        <w:tc>
          <w:tcPr>
            <w:tcW w:w="3038" w:type="dxa"/>
            <w:vAlign w:val="center"/>
          </w:tcPr>
          <w:p w14:paraId="21966D81" w14:textId="77777777" w:rsidR="001F35F4" w:rsidRPr="007120D0" w:rsidRDefault="00480A39">
            <w:pPr>
              <w:spacing w:before="0"/>
              <w:jc w:val="center"/>
              <w:rPr>
                <w:color w:val="000000"/>
              </w:rPr>
            </w:pPr>
            <w:r>
              <w:rPr>
                <w:color w:val="000000"/>
              </w:rPr>
              <w:t>N/a</w:t>
            </w:r>
          </w:p>
        </w:tc>
      </w:tr>
      <w:tr w:rsidR="00AD09A5" w:rsidRPr="007120D0" w14:paraId="21966D85" w14:textId="77777777">
        <w:trPr>
          <w:trHeight w:val="458"/>
        </w:trPr>
        <w:tc>
          <w:tcPr>
            <w:tcW w:w="6204" w:type="dxa"/>
            <w:vAlign w:val="center"/>
          </w:tcPr>
          <w:p w14:paraId="21966D83" w14:textId="77777777" w:rsidR="00AD09A5" w:rsidRPr="007120D0" w:rsidRDefault="00AD09A5">
            <w:pPr>
              <w:spacing w:before="0"/>
              <w:jc w:val="both"/>
              <w:rPr>
                <w:color w:val="000000"/>
              </w:rPr>
            </w:pPr>
            <w:r w:rsidRPr="007120D0">
              <w:rPr>
                <w:color w:val="000000"/>
              </w:rPr>
              <w:t>Is this report confidential?</w:t>
            </w:r>
          </w:p>
        </w:tc>
        <w:tc>
          <w:tcPr>
            <w:tcW w:w="3038" w:type="dxa"/>
            <w:vAlign w:val="center"/>
          </w:tcPr>
          <w:p w14:paraId="21966D84" w14:textId="77777777" w:rsidR="00AD09A5" w:rsidRPr="007120D0" w:rsidRDefault="00480A39">
            <w:pPr>
              <w:spacing w:before="0"/>
              <w:jc w:val="center"/>
              <w:rPr>
                <w:color w:val="000000"/>
              </w:rPr>
            </w:pPr>
            <w:r>
              <w:rPr>
                <w:color w:val="000000"/>
              </w:rPr>
              <w:t>No</w:t>
            </w:r>
          </w:p>
        </w:tc>
      </w:tr>
    </w:tbl>
    <w:p w14:paraId="21966D86" w14:textId="77777777" w:rsidR="00C36D90" w:rsidRPr="007120D0" w:rsidRDefault="00C36D90">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67"/>
        <w:gridCol w:w="4677"/>
      </w:tblGrid>
      <w:tr w:rsidR="001F35F4" w:rsidRPr="007120D0" w14:paraId="21966D89" w14:textId="77777777">
        <w:trPr>
          <w:cantSplit/>
        </w:trPr>
        <w:tc>
          <w:tcPr>
            <w:tcW w:w="4395" w:type="dxa"/>
            <w:gridSpan w:val="2"/>
            <w:tcBorders>
              <w:top w:val="double" w:sz="4" w:space="0" w:color="auto"/>
              <w:left w:val="double" w:sz="4" w:space="0" w:color="auto"/>
            </w:tcBorders>
          </w:tcPr>
          <w:p w14:paraId="21966D87" w14:textId="77777777" w:rsidR="001F35F4" w:rsidRPr="007120D0" w:rsidRDefault="001F35F4">
            <w:pPr>
              <w:pStyle w:val="BodyText"/>
              <w:spacing w:before="80" w:after="80"/>
              <w:rPr>
                <w:b/>
                <w:color w:val="000000"/>
                <w:u w:val="single"/>
              </w:rPr>
            </w:pPr>
            <w:r w:rsidRPr="007120D0">
              <w:rPr>
                <w:color w:val="000000"/>
              </w:rPr>
              <w:br w:type="page"/>
            </w:r>
            <w:r w:rsidRPr="007120D0">
              <w:rPr>
                <w:color w:val="000000"/>
              </w:rPr>
              <w:br w:type="page"/>
            </w:r>
            <w:r w:rsidRPr="007120D0">
              <w:rPr>
                <w:b/>
                <w:color w:val="000000"/>
                <w:u w:val="single"/>
              </w:rPr>
              <w:t>OFFICER CONSULTATIONS</w:t>
            </w:r>
          </w:p>
        </w:tc>
        <w:tc>
          <w:tcPr>
            <w:tcW w:w="4677" w:type="dxa"/>
            <w:tcBorders>
              <w:top w:val="double" w:sz="4" w:space="0" w:color="auto"/>
              <w:right w:val="double" w:sz="4" w:space="0" w:color="auto"/>
            </w:tcBorders>
          </w:tcPr>
          <w:p w14:paraId="21966D88" w14:textId="77777777" w:rsidR="001F35F4" w:rsidRPr="007120D0" w:rsidRDefault="001F35F4">
            <w:pPr>
              <w:pStyle w:val="BodyText"/>
              <w:spacing w:before="80" w:after="80"/>
              <w:rPr>
                <w:b/>
                <w:color w:val="000000"/>
                <w:u w:val="single"/>
              </w:rPr>
            </w:pPr>
            <w:r w:rsidRPr="007120D0">
              <w:rPr>
                <w:b/>
                <w:color w:val="000000"/>
                <w:u w:val="single"/>
              </w:rPr>
              <w:t>COMMENTS</w:t>
            </w:r>
          </w:p>
        </w:tc>
      </w:tr>
      <w:tr w:rsidR="001F35F4" w:rsidRPr="007120D0" w14:paraId="21966D8D" w14:textId="77777777">
        <w:tc>
          <w:tcPr>
            <w:tcW w:w="3828" w:type="dxa"/>
            <w:tcBorders>
              <w:left w:val="double" w:sz="4" w:space="0" w:color="auto"/>
            </w:tcBorders>
          </w:tcPr>
          <w:p w14:paraId="21966D8A" w14:textId="77777777" w:rsidR="001F35F4" w:rsidRPr="007120D0" w:rsidRDefault="001F35F4">
            <w:pPr>
              <w:pStyle w:val="BodyText"/>
              <w:spacing w:before="60" w:after="60"/>
              <w:rPr>
                <w:color w:val="000000"/>
              </w:rPr>
            </w:pPr>
            <w:r w:rsidRPr="007120D0">
              <w:rPr>
                <w:color w:val="000000"/>
              </w:rPr>
              <w:t>Chief Executive</w:t>
            </w:r>
          </w:p>
        </w:tc>
        <w:tc>
          <w:tcPr>
            <w:tcW w:w="567" w:type="dxa"/>
          </w:tcPr>
          <w:p w14:paraId="21966D8B" w14:textId="33CBC3E4" w:rsidR="001F35F4" w:rsidRPr="007120D0" w:rsidRDefault="001F35F4">
            <w:pPr>
              <w:pStyle w:val="BodyText"/>
              <w:spacing w:before="60" w:after="60"/>
              <w:rPr>
                <w:color w:val="000000"/>
              </w:rPr>
            </w:pPr>
          </w:p>
        </w:tc>
        <w:tc>
          <w:tcPr>
            <w:tcW w:w="4677" w:type="dxa"/>
            <w:tcBorders>
              <w:right w:val="double" w:sz="4" w:space="0" w:color="auto"/>
            </w:tcBorders>
          </w:tcPr>
          <w:p w14:paraId="21966D8C" w14:textId="77777777" w:rsidR="001F35F4" w:rsidRPr="007120D0" w:rsidRDefault="001F35F4">
            <w:pPr>
              <w:pStyle w:val="BodyText"/>
              <w:spacing w:before="60" w:after="60"/>
              <w:rPr>
                <w:color w:val="000000"/>
              </w:rPr>
            </w:pPr>
          </w:p>
        </w:tc>
      </w:tr>
      <w:tr w:rsidR="001F35F4" w:rsidRPr="007120D0" w14:paraId="21966D91" w14:textId="77777777">
        <w:tc>
          <w:tcPr>
            <w:tcW w:w="3828" w:type="dxa"/>
            <w:tcBorders>
              <w:left w:val="double" w:sz="4" w:space="0" w:color="auto"/>
            </w:tcBorders>
          </w:tcPr>
          <w:p w14:paraId="21966D8E" w14:textId="77777777" w:rsidR="001F35F4" w:rsidRPr="007120D0" w:rsidRDefault="005E6152">
            <w:pPr>
              <w:pStyle w:val="BodyText"/>
              <w:spacing w:before="60" w:after="60"/>
              <w:rPr>
                <w:color w:val="000000"/>
              </w:rPr>
            </w:pPr>
            <w:r>
              <w:rPr>
                <w:color w:val="000000"/>
              </w:rPr>
              <w:t>Corporate Director (AF</w:t>
            </w:r>
            <w:r w:rsidR="001F35F4" w:rsidRPr="007120D0">
              <w:rPr>
                <w:color w:val="000000"/>
              </w:rPr>
              <w:t>)</w:t>
            </w:r>
          </w:p>
        </w:tc>
        <w:tc>
          <w:tcPr>
            <w:tcW w:w="567" w:type="dxa"/>
          </w:tcPr>
          <w:p w14:paraId="21966D8F" w14:textId="74D32BE3" w:rsidR="001F35F4" w:rsidRPr="007120D0" w:rsidRDefault="001A5597">
            <w:pPr>
              <w:pStyle w:val="BodyText"/>
              <w:spacing w:before="60" w:after="60"/>
              <w:rPr>
                <w:color w:val="000000"/>
              </w:rPr>
            </w:pPr>
            <w:r>
              <w:rPr>
                <w:rFonts w:ascii="Wingdings 2" w:hAnsi="Wingdings 2"/>
                <w:color w:val="000000"/>
              </w:rPr>
              <w:t></w:t>
            </w:r>
          </w:p>
        </w:tc>
        <w:tc>
          <w:tcPr>
            <w:tcW w:w="4677" w:type="dxa"/>
            <w:tcBorders>
              <w:right w:val="double" w:sz="4" w:space="0" w:color="auto"/>
            </w:tcBorders>
          </w:tcPr>
          <w:p w14:paraId="21966D90" w14:textId="77777777" w:rsidR="001F35F4" w:rsidRPr="007120D0" w:rsidRDefault="001F35F4">
            <w:pPr>
              <w:pStyle w:val="BodyText"/>
              <w:spacing w:before="60" w:after="60"/>
              <w:rPr>
                <w:color w:val="000000"/>
              </w:rPr>
            </w:pPr>
          </w:p>
        </w:tc>
      </w:tr>
      <w:tr w:rsidR="001F35F4" w:rsidRPr="007120D0" w14:paraId="21966D95" w14:textId="77777777">
        <w:tc>
          <w:tcPr>
            <w:tcW w:w="3828" w:type="dxa"/>
            <w:tcBorders>
              <w:left w:val="double" w:sz="4" w:space="0" w:color="auto"/>
            </w:tcBorders>
          </w:tcPr>
          <w:p w14:paraId="21966D92" w14:textId="77777777" w:rsidR="001F35F4" w:rsidRPr="007120D0" w:rsidRDefault="001F35F4">
            <w:pPr>
              <w:pStyle w:val="BodyText"/>
              <w:spacing w:before="60" w:after="60"/>
              <w:rPr>
                <w:color w:val="000000"/>
              </w:rPr>
            </w:pPr>
            <w:r w:rsidRPr="007120D0">
              <w:rPr>
                <w:color w:val="000000"/>
              </w:rPr>
              <w:t>Corporate Director</w:t>
            </w:r>
            <w:r w:rsidR="00AD09A5" w:rsidRPr="007120D0">
              <w:rPr>
                <w:color w:val="000000"/>
              </w:rPr>
              <w:t xml:space="preserve"> (C</w:t>
            </w:r>
            <w:r w:rsidR="00AA7C57">
              <w:rPr>
                <w:color w:val="000000"/>
              </w:rPr>
              <w:t>M</w:t>
            </w:r>
            <w:r w:rsidR="00AD09A5" w:rsidRPr="007120D0">
              <w:rPr>
                <w:color w:val="000000"/>
              </w:rPr>
              <w:t>)</w:t>
            </w:r>
          </w:p>
        </w:tc>
        <w:tc>
          <w:tcPr>
            <w:tcW w:w="567" w:type="dxa"/>
          </w:tcPr>
          <w:p w14:paraId="21966D93" w14:textId="343EB0B7" w:rsidR="001F35F4" w:rsidRPr="007F3AD2" w:rsidRDefault="007F3AD2">
            <w:pPr>
              <w:pStyle w:val="BodyText"/>
              <w:spacing w:before="60" w:after="60"/>
              <w:rPr>
                <w:rFonts w:ascii="Wingdings 2" w:hAnsi="Wingdings 2"/>
                <w:color w:val="000000"/>
              </w:rPr>
            </w:pPr>
            <w:r>
              <w:rPr>
                <w:rFonts w:ascii="Wingdings 2" w:hAnsi="Wingdings 2"/>
                <w:color w:val="000000"/>
              </w:rPr>
              <w:t></w:t>
            </w:r>
          </w:p>
        </w:tc>
        <w:tc>
          <w:tcPr>
            <w:tcW w:w="4677" w:type="dxa"/>
            <w:tcBorders>
              <w:right w:val="double" w:sz="4" w:space="0" w:color="auto"/>
            </w:tcBorders>
          </w:tcPr>
          <w:p w14:paraId="21966D94" w14:textId="77777777" w:rsidR="001F35F4" w:rsidRPr="007120D0" w:rsidRDefault="001F35F4">
            <w:pPr>
              <w:pStyle w:val="BodyText"/>
              <w:spacing w:before="60" w:after="60"/>
              <w:rPr>
                <w:color w:val="000000"/>
              </w:rPr>
            </w:pPr>
          </w:p>
        </w:tc>
      </w:tr>
      <w:tr w:rsidR="001F35F4" w:rsidRPr="007120D0" w14:paraId="21966D99" w14:textId="77777777">
        <w:tc>
          <w:tcPr>
            <w:tcW w:w="3828" w:type="dxa"/>
            <w:tcBorders>
              <w:left w:val="double" w:sz="4" w:space="0" w:color="auto"/>
            </w:tcBorders>
          </w:tcPr>
          <w:p w14:paraId="21966D96" w14:textId="77777777" w:rsidR="001F35F4" w:rsidRPr="007120D0" w:rsidRDefault="001F35F4">
            <w:pPr>
              <w:pStyle w:val="BodyText"/>
              <w:spacing w:before="60" w:after="60"/>
              <w:rPr>
                <w:color w:val="000000"/>
              </w:rPr>
            </w:pPr>
            <w:r w:rsidRPr="007120D0">
              <w:rPr>
                <w:color w:val="000000"/>
              </w:rPr>
              <w:t>Finance</w:t>
            </w:r>
          </w:p>
        </w:tc>
        <w:tc>
          <w:tcPr>
            <w:tcW w:w="567" w:type="dxa"/>
          </w:tcPr>
          <w:p w14:paraId="21966D97" w14:textId="59E054A0" w:rsidR="001F35F4" w:rsidRPr="007F3AD2" w:rsidRDefault="007F3AD2">
            <w:pPr>
              <w:pStyle w:val="BodyText"/>
              <w:spacing w:before="60" w:after="60"/>
              <w:rPr>
                <w:rFonts w:ascii="Wingdings 2" w:hAnsi="Wingdings 2"/>
                <w:color w:val="000000"/>
              </w:rPr>
            </w:pPr>
            <w:r>
              <w:rPr>
                <w:rFonts w:ascii="Wingdings 2" w:hAnsi="Wingdings 2"/>
                <w:color w:val="000000"/>
              </w:rPr>
              <w:t></w:t>
            </w:r>
          </w:p>
        </w:tc>
        <w:tc>
          <w:tcPr>
            <w:tcW w:w="4677" w:type="dxa"/>
            <w:tcBorders>
              <w:right w:val="double" w:sz="4" w:space="0" w:color="auto"/>
            </w:tcBorders>
          </w:tcPr>
          <w:p w14:paraId="21966D98" w14:textId="77777777" w:rsidR="001F35F4" w:rsidRPr="007120D0" w:rsidRDefault="001F35F4">
            <w:pPr>
              <w:pStyle w:val="BodyText"/>
              <w:spacing w:before="60" w:after="60"/>
              <w:rPr>
                <w:color w:val="000000"/>
              </w:rPr>
            </w:pPr>
          </w:p>
        </w:tc>
      </w:tr>
      <w:tr w:rsidR="001F35F4" w:rsidRPr="007120D0" w14:paraId="21966D9D" w14:textId="77777777">
        <w:tc>
          <w:tcPr>
            <w:tcW w:w="3828" w:type="dxa"/>
            <w:tcBorders>
              <w:left w:val="double" w:sz="4" w:space="0" w:color="auto"/>
            </w:tcBorders>
          </w:tcPr>
          <w:p w14:paraId="21966D9A" w14:textId="77777777" w:rsidR="001F35F4" w:rsidRPr="007120D0" w:rsidRDefault="001F35F4">
            <w:pPr>
              <w:pStyle w:val="BodyText"/>
              <w:spacing w:before="60" w:after="60"/>
              <w:rPr>
                <w:color w:val="000000"/>
              </w:rPr>
            </w:pPr>
            <w:r w:rsidRPr="007120D0">
              <w:rPr>
                <w:color w:val="000000"/>
              </w:rPr>
              <w:t>Legal</w:t>
            </w:r>
          </w:p>
        </w:tc>
        <w:tc>
          <w:tcPr>
            <w:tcW w:w="567" w:type="dxa"/>
          </w:tcPr>
          <w:p w14:paraId="21966D9B" w14:textId="3B38D027" w:rsidR="001F35F4" w:rsidRPr="007120D0" w:rsidRDefault="001F35F4">
            <w:pPr>
              <w:pStyle w:val="BodyText"/>
              <w:spacing w:before="60" w:after="60"/>
              <w:rPr>
                <w:color w:val="000000"/>
              </w:rPr>
            </w:pPr>
          </w:p>
        </w:tc>
        <w:tc>
          <w:tcPr>
            <w:tcW w:w="4677" w:type="dxa"/>
            <w:tcBorders>
              <w:right w:val="double" w:sz="4" w:space="0" w:color="auto"/>
            </w:tcBorders>
          </w:tcPr>
          <w:p w14:paraId="21966D9C" w14:textId="77777777" w:rsidR="001F35F4" w:rsidRPr="007120D0" w:rsidRDefault="001F35F4">
            <w:pPr>
              <w:pStyle w:val="BodyText"/>
              <w:spacing w:before="60" w:after="60"/>
              <w:rPr>
                <w:color w:val="000000"/>
              </w:rPr>
            </w:pPr>
          </w:p>
        </w:tc>
      </w:tr>
      <w:tr w:rsidR="001F35F4" w:rsidRPr="007120D0" w14:paraId="21966DA1" w14:textId="77777777">
        <w:tc>
          <w:tcPr>
            <w:tcW w:w="3828" w:type="dxa"/>
            <w:tcBorders>
              <w:left w:val="double" w:sz="4" w:space="0" w:color="auto"/>
            </w:tcBorders>
          </w:tcPr>
          <w:p w14:paraId="21966D9E" w14:textId="77777777" w:rsidR="001F35F4" w:rsidRPr="007120D0" w:rsidRDefault="005E6152">
            <w:pPr>
              <w:pStyle w:val="BodyText"/>
              <w:spacing w:before="60" w:after="60"/>
              <w:rPr>
                <w:color w:val="000000"/>
              </w:rPr>
            </w:pPr>
            <w:r>
              <w:rPr>
                <w:color w:val="000000"/>
              </w:rPr>
              <w:lastRenderedPageBreak/>
              <w:t>Human Resources</w:t>
            </w:r>
          </w:p>
        </w:tc>
        <w:tc>
          <w:tcPr>
            <w:tcW w:w="567" w:type="dxa"/>
          </w:tcPr>
          <w:p w14:paraId="21966D9F"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A0" w14:textId="77777777" w:rsidR="001F35F4" w:rsidRPr="007120D0" w:rsidRDefault="001F35F4">
            <w:pPr>
              <w:pStyle w:val="BodyText"/>
              <w:spacing w:before="60" w:after="60"/>
              <w:rPr>
                <w:color w:val="000000"/>
              </w:rPr>
            </w:pPr>
          </w:p>
        </w:tc>
      </w:tr>
      <w:tr w:rsidR="001F35F4" w:rsidRPr="007120D0" w14:paraId="21966DA5" w14:textId="77777777">
        <w:tc>
          <w:tcPr>
            <w:tcW w:w="3828" w:type="dxa"/>
            <w:tcBorders>
              <w:left w:val="double" w:sz="4" w:space="0" w:color="auto"/>
            </w:tcBorders>
          </w:tcPr>
          <w:p w14:paraId="21966DA2" w14:textId="77777777" w:rsidR="001F35F4" w:rsidRPr="007120D0" w:rsidRDefault="001F35F4">
            <w:pPr>
              <w:pStyle w:val="BodyText"/>
              <w:spacing w:before="60" w:after="60"/>
              <w:rPr>
                <w:color w:val="000000"/>
              </w:rPr>
            </w:pPr>
            <w:r w:rsidRPr="007120D0">
              <w:rPr>
                <w:color w:val="000000"/>
              </w:rPr>
              <w:t>Other Heads of Service</w:t>
            </w:r>
          </w:p>
        </w:tc>
        <w:tc>
          <w:tcPr>
            <w:tcW w:w="567" w:type="dxa"/>
          </w:tcPr>
          <w:p w14:paraId="21966DA3" w14:textId="609C42F2" w:rsidR="001F35F4" w:rsidRPr="007F3AD2" w:rsidRDefault="007F3AD2">
            <w:pPr>
              <w:pStyle w:val="BodyText"/>
              <w:spacing w:before="60" w:after="60"/>
              <w:rPr>
                <w:rFonts w:ascii="Wingdings 2" w:hAnsi="Wingdings 2"/>
                <w:color w:val="000000"/>
              </w:rPr>
            </w:pPr>
            <w:r>
              <w:rPr>
                <w:rFonts w:ascii="Wingdings 2" w:hAnsi="Wingdings 2"/>
                <w:color w:val="000000"/>
              </w:rPr>
              <w:t></w:t>
            </w:r>
          </w:p>
        </w:tc>
        <w:tc>
          <w:tcPr>
            <w:tcW w:w="4677" w:type="dxa"/>
            <w:tcBorders>
              <w:right w:val="double" w:sz="4" w:space="0" w:color="auto"/>
            </w:tcBorders>
          </w:tcPr>
          <w:p w14:paraId="21966DA4" w14:textId="77777777" w:rsidR="002544B4" w:rsidRPr="007120D0" w:rsidRDefault="002544B4">
            <w:pPr>
              <w:pStyle w:val="BodyText"/>
              <w:spacing w:before="60" w:after="60"/>
              <w:rPr>
                <w:color w:val="000000"/>
              </w:rPr>
            </w:pPr>
          </w:p>
        </w:tc>
      </w:tr>
      <w:tr w:rsidR="001F35F4" w:rsidRPr="007120D0" w14:paraId="21966DA9" w14:textId="77777777">
        <w:tc>
          <w:tcPr>
            <w:tcW w:w="3828" w:type="dxa"/>
            <w:tcBorders>
              <w:left w:val="double" w:sz="4" w:space="0" w:color="auto"/>
            </w:tcBorders>
          </w:tcPr>
          <w:p w14:paraId="21966DA6" w14:textId="77777777" w:rsidR="001F35F4" w:rsidRPr="007120D0" w:rsidRDefault="001F35F4">
            <w:pPr>
              <w:pStyle w:val="BodyText"/>
              <w:spacing w:before="60" w:after="60"/>
              <w:jc w:val="left"/>
              <w:rPr>
                <w:color w:val="000000"/>
              </w:rPr>
            </w:pPr>
            <w:r w:rsidRPr="007120D0">
              <w:rPr>
                <w:color w:val="000000"/>
              </w:rPr>
              <w:t>Corporate Services Portfolio Holder</w:t>
            </w:r>
          </w:p>
        </w:tc>
        <w:tc>
          <w:tcPr>
            <w:tcW w:w="567" w:type="dxa"/>
          </w:tcPr>
          <w:p w14:paraId="21966DA7"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A8" w14:textId="77777777" w:rsidR="001F35F4" w:rsidRPr="007120D0" w:rsidRDefault="001F35F4">
            <w:pPr>
              <w:pStyle w:val="BodyText"/>
              <w:spacing w:before="60" w:after="60"/>
              <w:rPr>
                <w:color w:val="000000"/>
              </w:rPr>
            </w:pPr>
          </w:p>
        </w:tc>
      </w:tr>
      <w:tr w:rsidR="002544B4" w:rsidRPr="007120D0" w14:paraId="21966DAD" w14:textId="77777777">
        <w:tc>
          <w:tcPr>
            <w:tcW w:w="3828" w:type="dxa"/>
            <w:tcBorders>
              <w:left w:val="double" w:sz="4" w:space="0" w:color="auto"/>
            </w:tcBorders>
          </w:tcPr>
          <w:p w14:paraId="21966DAA" w14:textId="77777777" w:rsidR="002544B4" w:rsidRPr="007120D0" w:rsidRDefault="002544B4">
            <w:pPr>
              <w:pStyle w:val="BodyText"/>
              <w:spacing w:before="60" w:after="60"/>
              <w:jc w:val="left"/>
              <w:rPr>
                <w:color w:val="000000"/>
              </w:rPr>
            </w:pPr>
            <w:r w:rsidRPr="007120D0">
              <w:rPr>
                <w:color w:val="000000"/>
              </w:rPr>
              <w:t>CSU</w:t>
            </w:r>
          </w:p>
        </w:tc>
        <w:tc>
          <w:tcPr>
            <w:tcW w:w="567" w:type="dxa"/>
          </w:tcPr>
          <w:p w14:paraId="21966DAB" w14:textId="7A4D2DE3" w:rsidR="002544B4" w:rsidRPr="007F3AD2" w:rsidRDefault="007F3AD2">
            <w:pPr>
              <w:pStyle w:val="BodyText"/>
              <w:spacing w:before="60" w:after="60"/>
              <w:rPr>
                <w:rFonts w:ascii="Wingdings 2" w:hAnsi="Wingdings 2"/>
                <w:color w:val="000000"/>
              </w:rPr>
            </w:pPr>
            <w:r>
              <w:rPr>
                <w:rFonts w:ascii="Wingdings 2" w:hAnsi="Wingdings 2"/>
                <w:color w:val="000000"/>
              </w:rPr>
              <w:t></w:t>
            </w:r>
          </w:p>
        </w:tc>
        <w:tc>
          <w:tcPr>
            <w:tcW w:w="4677" w:type="dxa"/>
            <w:tcBorders>
              <w:right w:val="double" w:sz="4" w:space="0" w:color="auto"/>
            </w:tcBorders>
          </w:tcPr>
          <w:p w14:paraId="21966DAC" w14:textId="77777777" w:rsidR="002544B4" w:rsidRPr="007120D0" w:rsidRDefault="002544B4">
            <w:pPr>
              <w:pStyle w:val="BodyText"/>
              <w:spacing w:before="60" w:after="60"/>
              <w:rPr>
                <w:color w:val="000000"/>
              </w:rPr>
            </w:pPr>
          </w:p>
        </w:tc>
      </w:tr>
      <w:tr w:rsidR="00AD2831" w:rsidRPr="007120D0" w14:paraId="21966DB1" w14:textId="77777777">
        <w:tc>
          <w:tcPr>
            <w:tcW w:w="3828" w:type="dxa"/>
            <w:tcBorders>
              <w:left w:val="double" w:sz="4" w:space="0" w:color="auto"/>
            </w:tcBorders>
          </w:tcPr>
          <w:p w14:paraId="21966DAE" w14:textId="77777777" w:rsidR="00AD2831" w:rsidRPr="007120D0" w:rsidRDefault="00AD2831">
            <w:pPr>
              <w:pStyle w:val="BodyText"/>
              <w:spacing w:before="60" w:after="60"/>
              <w:jc w:val="left"/>
              <w:rPr>
                <w:color w:val="000000"/>
              </w:rPr>
            </w:pPr>
            <w:r>
              <w:rPr>
                <w:color w:val="000000"/>
              </w:rPr>
              <w:t>Leader</w:t>
            </w:r>
          </w:p>
        </w:tc>
        <w:tc>
          <w:tcPr>
            <w:tcW w:w="567" w:type="dxa"/>
          </w:tcPr>
          <w:p w14:paraId="21966DAF" w14:textId="77777777" w:rsidR="00AD2831" w:rsidRPr="007120D0" w:rsidRDefault="00AD2831">
            <w:pPr>
              <w:pStyle w:val="BodyText"/>
              <w:spacing w:before="60" w:after="60"/>
              <w:rPr>
                <w:color w:val="000000"/>
              </w:rPr>
            </w:pPr>
          </w:p>
        </w:tc>
        <w:tc>
          <w:tcPr>
            <w:tcW w:w="4677" w:type="dxa"/>
            <w:tcBorders>
              <w:right w:val="double" w:sz="4" w:space="0" w:color="auto"/>
            </w:tcBorders>
          </w:tcPr>
          <w:p w14:paraId="21966DB0" w14:textId="77777777" w:rsidR="00AD2831" w:rsidRPr="007120D0" w:rsidRDefault="00AD2831">
            <w:pPr>
              <w:pStyle w:val="BodyText"/>
              <w:spacing w:before="60" w:after="60"/>
              <w:rPr>
                <w:color w:val="000000"/>
              </w:rPr>
            </w:pPr>
          </w:p>
        </w:tc>
      </w:tr>
      <w:tr w:rsidR="001F35F4" w:rsidRPr="007120D0" w14:paraId="21966DB5" w14:textId="77777777">
        <w:tc>
          <w:tcPr>
            <w:tcW w:w="3828" w:type="dxa"/>
            <w:tcBorders>
              <w:left w:val="double" w:sz="4" w:space="0" w:color="auto"/>
            </w:tcBorders>
          </w:tcPr>
          <w:p w14:paraId="21966DB2" w14:textId="77777777" w:rsidR="001F35F4" w:rsidRPr="007120D0" w:rsidRDefault="001F35F4">
            <w:pPr>
              <w:pStyle w:val="BodyText"/>
              <w:spacing w:before="60" w:after="60"/>
              <w:jc w:val="left"/>
              <w:rPr>
                <w:color w:val="000000"/>
              </w:rPr>
            </w:pPr>
            <w:r w:rsidRPr="007120D0">
              <w:rPr>
                <w:color w:val="000000"/>
              </w:rPr>
              <w:t>Economic Portfolio Holder</w:t>
            </w:r>
          </w:p>
        </w:tc>
        <w:tc>
          <w:tcPr>
            <w:tcW w:w="567" w:type="dxa"/>
          </w:tcPr>
          <w:p w14:paraId="21966DB3"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B4" w14:textId="77777777" w:rsidR="001F35F4" w:rsidRPr="007120D0" w:rsidRDefault="001F35F4">
            <w:pPr>
              <w:pStyle w:val="BodyText"/>
              <w:spacing w:before="60" w:after="60"/>
              <w:rPr>
                <w:color w:val="000000"/>
              </w:rPr>
            </w:pPr>
          </w:p>
        </w:tc>
      </w:tr>
      <w:tr w:rsidR="001F35F4" w:rsidRPr="007120D0" w14:paraId="21966DB9" w14:textId="77777777">
        <w:tc>
          <w:tcPr>
            <w:tcW w:w="3828" w:type="dxa"/>
            <w:tcBorders>
              <w:left w:val="double" w:sz="4" w:space="0" w:color="auto"/>
            </w:tcBorders>
          </w:tcPr>
          <w:p w14:paraId="21966DB6" w14:textId="77777777" w:rsidR="001F35F4" w:rsidRPr="007120D0" w:rsidRDefault="007F728F">
            <w:pPr>
              <w:pStyle w:val="BodyText"/>
              <w:spacing w:before="60" w:after="60"/>
              <w:jc w:val="left"/>
              <w:rPr>
                <w:color w:val="000000"/>
              </w:rPr>
            </w:pPr>
            <w:r>
              <w:rPr>
                <w:color w:val="000000"/>
              </w:rPr>
              <w:t>Environmental</w:t>
            </w:r>
            <w:r w:rsidR="001F35F4" w:rsidRPr="007120D0">
              <w:rPr>
                <w:color w:val="000000"/>
              </w:rPr>
              <w:t xml:space="preserve"> Portfolio Holder</w:t>
            </w:r>
          </w:p>
        </w:tc>
        <w:tc>
          <w:tcPr>
            <w:tcW w:w="567" w:type="dxa"/>
          </w:tcPr>
          <w:p w14:paraId="21966DB7"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B8" w14:textId="77777777" w:rsidR="001F35F4" w:rsidRPr="007120D0" w:rsidRDefault="001F35F4">
            <w:pPr>
              <w:pStyle w:val="BodyText"/>
              <w:spacing w:before="60" w:after="60"/>
              <w:rPr>
                <w:color w:val="000000"/>
              </w:rPr>
            </w:pPr>
          </w:p>
        </w:tc>
      </w:tr>
      <w:tr w:rsidR="001F35F4" w:rsidRPr="007120D0" w14:paraId="21966DBD" w14:textId="77777777">
        <w:tc>
          <w:tcPr>
            <w:tcW w:w="3828" w:type="dxa"/>
            <w:tcBorders>
              <w:left w:val="double" w:sz="4" w:space="0" w:color="auto"/>
            </w:tcBorders>
          </w:tcPr>
          <w:p w14:paraId="21966DBA" w14:textId="77777777" w:rsidR="001F35F4" w:rsidRPr="007120D0" w:rsidRDefault="007F728F">
            <w:pPr>
              <w:pStyle w:val="BodyText"/>
              <w:spacing w:before="60" w:after="60"/>
              <w:jc w:val="left"/>
              <w:rPr>
                <w:color w:val="000000"/>
              </w:rPr>
            </w:pPr>
            <w:r>
              <w:rPr>
                <w:color w:val="000000"/>
              </w:rPr>
              <w:t>Leisure and Wellbeing</w:t>
            </w:r>
            <w:r w:rsidR="00C36D90" w:rsidRPr="007120D0">
              <w:rPr>
                <w:color w:val="000000"/>
              </w:rPr>
              <w:t xml:space="preserve"> </w:t>
            </w:r>
            <w:r w:rsidR="001F35F4" w:rsidRPr="007120D0">
              <w:rPr>
                <w:color w:val="000000"/>
              </w:rPr>
              <w:t>Portfolio Holder</w:t>
            </w:r>
          </w:p>
        </w:tc>
        <w:tc>
          <w:tcPr>
            <w:tcW w:w="567" w:type="dxa"/>
          </w:tcPr>
          <w:p w14:paraId="21966DBB"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BC" w14:textId="77777777" w:rsidR="001F35F4" w:rsidRPr="007120D0" w:rsidRDefault="001F35F4">
            <w:pPr>
              <w:pStyle w:val="BodyText"/>
              <w:spacing w:before="60" w:after="60"/>
              <w:rPr>
                <w:color w:val="000000"/>
              </w:rPr>
            </w:pPr>
          </w:p>
        </w:tc>
      </w:tr>
      <w:tr w:rsidR="001F35F4" w:rsidRPr="007120D0" w14:paraId="21966DC1" w14:textId="77777777">
        <w:tc>
          <w:tcPr>
            <w:tcW w:w="3828" w:type="dxa"/>
            <w:tcBorders>
              <w:left w:val="double" w:sz="4" w:space="0" w:color="auto"/>
            </w:tcBorders>
          </w:tcPr>
          <w:p w14:paraId="21966DBE" w14:textId="77777777" w:rsidR="001F35F4" w:rsidRPr="007120D0" w:rsidRDefault="007F728F">
            <w:pPr>
              <w:pStyle w:val="BodyText"/>
              <w:spacing w:before="60" w:after="60"/>
              <w:jc w:val="left"/>
              <w:rPr>
                <w:color w:val="000000"/>
              </w:rPr>
            </w:pPr>
            <w:r>
              <w:rPr>
                <w:color w:val="000000"/>
              </w:rPr>
              <w:t>Housing, Health &amp; Communities</w:t>
            </w:r>
            <w:r w:rsidR="001F35F4" w:rsidRPr="007120D0">
              <w:rPr>
                <w:color w:val="000000"/>
              </w:rPr>
              <w:t xml:space="preserve"> Portfolio Holder</w:t>
            </w:r>
          </w:p>
        </w:tc>
        <w:tc>
          <w:tcPr>
            <w:tcW w:w="567" w:type="dxa"/>
          </w:tcPr>
          <w:p w14:paraId="21966DBF"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C0" w14:textId="77777777" w:rsidR="001F35F4" w:rsidRPr="007120D0" w:rsidRDefault="001F35F4">
            <w:pPr>
              <w:pStyle w:val="BodyText"/>
              <w:spacing w:before="60" w:after="60"/>
              <w:rPr>
                <w:color w:val="000000"/>
              </w:rPr>
            </w:pPr>
          </w:p>
        </w:tc>
      </w:tr>
      <w:tr w:rsidR="00C36D90" w:rsidRPr="007120D0" w14:paraId="21966DC5" w14:textId="77777777">
        <w:tc>
          <w:tcPr>
            <w:tcW w:w="3828" w:type="dxa"/>
            <w:tcBorders>
              <w:left w:val="double" w:sz="4" w:space="0" w:color="auto"/>
            </w:tcBorders>
          </w:tcPr>
          <w:p w14:paraId="21966DC2" w14:textId="77777777" w:rsidR="00C36D90" w:rsidRPr="007120D0" w:rsidRDefault="00C36D90">
            <w:pPr>
              <w:pStyle w:val="BodyText"/>
              <w:spacing w:before="60" w:after="60"/>
              <w:jc w:val="left"/>
              <w:rPr>
                <w:color w:val="000000"/>
              </w:rPr>
            </w:pPr>
            <w:r w:rsidRPr="007120D0">
              <w:rPr>
                <w:color w:val="000000"/>
              </w:rPr>
              <w:t xml:space="preserve">Planning &amp; Transport Portfolio Holder </w:t>
            </w:r>
          </w:p>
        </w:tc>
        <w:tc>
          <w:tcPr>
            <w:tcW w:w="567" w:type="dxa"/>
          </w:tcPr>
          <w:p w14:paraId="21966DC3" w14:textId="77777777" w:rsidR="00C36D90" w:rsidRPr="007120D0" w:rsidRDefault="00C36D90">
            <w:pPr>
              <w:pStyle w:val="BodyText"/>
              <w:spacing w:before="60" w:after="60"/>
              <w:rPr>
                <w:color w:val="000000"/>
              </w:rPr>
            </w:pPr>
          </w:p>
        </w:tc>
        <w:tc>
          <w:tcPr>
            <w:tcW w:w="4677" w:type="dxa"/>
            <w:tcBorders>
              <w:right w:val="double" w:sz="4" w:space="0" w:color="auto"/>
            </w:tcBorders>
          </w:tcPr>
          <w:p w14:paraId="21966DC4" w14:textId="77777777" w:rsidR="00C36D90" w:rsidRPr="007120D0" w:rsidRDefault="00C36D90">
            <w:pPr>
              <w:pStyle w:val="BodyText"/>
              <w:spacing w:before="60" w:after="60"/>
              <w:rPr>
                <w:color w:val="000000"/>
              </w:rPr>
            </w:pPr>
          </w:p>
        </w:tc>
      </w:tr>
      <w:tr w:rsidR="001F35F4" w:rsidRPr="007120D0" w14:paraId="21966DC9" w14:textId="77777777">
        <w:tc>
          <w:tcPr>
            <w:tcW w:w="3828" w:type="dxa"/>
            <w:tcBorders>
              <w:left w:val="double" w:sz="4" w:space="0" w:color="auto"/>
            </w:tcBorders>
          </w:tcPr>
          <w:p w14:paraId="21966DC6" w14:textId="77777777" w:rsidR="001F35F4" w:rsidRPr="007120D0" w:rsidRDefault="00C03674">
            <w:pPr>
              <w:pStyle w:val="BodyText"/>
              <w:spacing w:before="60" w:after="60"/>
              <w:jc w:val="left"/>
              <w:rPr>
                <w:color w:val="000000"/>
              </w:rPr>
            </w:pPr>
            <w:smartTag w:uri="urn:schemas-microsoft-com:office:smarttags" w:element="place">
              <w:r w:rsidRPr="007120D0">
                <w:rPr>
                  <w:color w:val="000000"/>
                </w:rPr>
                <w:t>UNION</w:t>
              </w:r>
            </w:smartTag>
          </w:p>
        </w:tc>
        <w:tc>
          <w:tcPr>
            <w:tcW w:w="567" w:type="dxa"/>
          </w:tcPr>
          <w:p w14:paraId="21966DC7"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C8" w14:textId="77777777" w:rsidR="001F35F4" w:rsidRPr="007120D0" w:rsidRDefault="001F35F4">
            <w:pPr>
              <w:pStyle w:val="BodyText"/>
              <w:spacing w:before="60" w:after="60"/>
              <w:rPr>
                <w:color w:val="000000"/>
              </w:rPr>
            </w:pPr>
          </w:p>
        </w:tc>
      </w:tr>
      <w:tr w:rsidR="001F35F4" w:rsidRPr="007120D0" w14:paraId="21966DCD" w14:textId="77777777">
        <w:tc>
          <w:tcPr>
            <w:tcW w:w="3828" w:type="dxa"/>
            <w:tcBorders>
              <w:left w:val="double" w:sz="4" w:space="0" w:color="auto"/>
            </w:tcBorders>
          </w:tcPr>
          <w:p w14:paraId="21966DCA" w14:textId="77777777" w:rsidR="001F35F4" w:rsidRPr="007120D0" w:rsidRDefault="001F35F4">
            <w:pPr>
              <w:pStyle w:val="BodyText"/>
              <w:spacing w:before="60" w:after="60"/>
              <w:jc w:val="left"/>
              <w:rPr>
                <w:color w:val="000000"/>
              </w:rPr>
            </w:pPr>
            <w:r w:rsidRPr="007120D0">
              <w:rPr>
                <w:color w:val="000000"/>
              </w:rPr>
              <w:t>FINAL APPROVED VERSION</w:t>
            </w:r>
          </w:p>
        </w:tc>
        <w:tc>
          <w:tcPr>
            <w:tcW w:w="567" w:type="dxa"/>
          </w:tcPr>
          <w:p w14:paraId="21966DCB" w14:textId="77777777" w:rsidR="001F35F4" w:rsidRPr="007120D0" w:rsidRDefault="001F35F4">
            <w:pPr>
              <w:pStyle w:val="BodyText"/>
              <w:spacing w:before="60" w:after="60"/>
              <w:rPr>
                <w:color w:val="000000"/>
              </w:rPr>
            </w:pPr>
          </w:p>
        </w:tc>
        <w:tc>
          <w:tcPr>
            <w:tcW w:w="4677" w:type="dxa"/>
            <w:tcBorders>
              <w:right w:val="double" w:sz="4" w:space="0" w:color="auto"/>
            </w:tcBorders>
          </w:tcPr>
          <w:p w14:paraId="21966DCC" w14:textId="77777777" w:rsidR="001F35F4" w:rsidRPr="007120D0" w:rsidRDefault="001F35F4">
            <w:pPr>
              <w:pStyle w:val="BodyText"/>
              <w:spacing w:before="60" w:after="60"/>
              <w:rPr>
                <w:color w:val="000000"/>
              </w:rPr>
            </w:pPr>
          </w:p>
        </w:tc>
      </w:tr>
    </w:tbl>
    <w:p w14:paraId="21966DCE" w14:textId="77777777" w:rsidR="001F35F4" w:rsidRPr="007120D0" w:rsidRDefault="001F35F4" w:rsidP="00985835">
      <w:r w:rsidRPr="007120D0">
        <w:t>Statutory Authori</w:t>
      </w:r>
      <w:r w:rsidR="00AD09A5" w:rsidRPr="007120D0">
        <w:t>ty</w:t>
      </w:r>
    </w:p>
    <w:sectPr w:rsidR="001F35F4" w:rsidRPr="007120D0" w:rsidSect="00985835">
      <w:pgSz w:w="11907" w:h="16840" w:code="9"/>
      <w:pgMar w:top="1418"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66DD7" w14:textId="77777777" w:rsidR="00971491" w:rsidRDefault="00971491">
      <w:r>
        <w:separator/>
      </w:r>
    </w:p>
  </w:endnote>
  <w:endnote w:type="continuationSeparator" w:id="0">
    <w:p w14:paraId="21966DD8" w14:textId="77777777" w:rsidR="00971491" w:rsidRDefault="0097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66DD5" w14:textId="77777777" w:rsidR="00971491" w:rsidRDefault="00971491">
      <w:r>
        <w:separator/>
      </w:r>
    </w:p>
  </w:footnote>
  <w:footnote w:type="continuationSeparator" w:id="0">
    <w:p w14:paraId="21966DD6" w14:textId="77777777" w:rsidR="00971491" w:rsidRDefault="00971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4CF2D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6840DF"/>
    <w:multiLevelType w:val="hybridMultilevel"/>
    <w:tmpl w:val="7DA48ADA"/>
    <w:lvl w:ilvl="0" w:tplc="F466A8FC">
      <w:start w:val="2"/>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nsid w:val="07E03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E174347"/>
    <w:multiLevelType w:val="multilevel"/>
    <w:tmpl w:val="D4A6A6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740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3027716"/>
    <w:multiLevelType w:val="singleLevel"/>
    <w:tmpl w:val="13C01288"/>
    <w:lvl w:ilvl="0">
      <w:start w:val="1"/>
      <w:numFmt w:val="decimal"/>
      <w:lvlText w:val="(%1)"/>
      <w:lvlJc w:val="left"/>
      <w:pPr>
        <w:tabs>
          <w:tab w:val="num" w:pos="720"/>
        </w:tabs>
        <w:ind w:left="720" w:hanging="720"/>
      </w:pPr>
    </w:lvl>
  </w:abstractNum>
  <w:abstractNum w:abstractNumId="7">
    <w:nsid w:val="16C82EE2"/>
    <w:multiLevelType w:val="multilevel"/>
    <w:tmpl w:val="CC6CC0E4"/>
    <w:lvl w:ilvl="0">
      <w:start w:val="1"/>
      <w:numFmt w:val="decimal"/>
      <w:pStyle w:val="Heading1"/>
      <w:lvlText w:val="%1"/>
      <w:lvlJc w:val="left"/>
      <w:pPr>
        <w:tabs>
          <w:tab w:val="num" w:pos="720"/>
        </w:tabs>
        <w:ind w:left="720" w:hanging="720"/>
      </w:pPr>
      <w:rPr>
        <w:b/>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361"/>
        </w:tabs>
        <w:ind w:left="1361" w:hanging="641"/>
      </w:pPr>
    </w:lvl>
    <w:lvl w:ilvl="4">
      <w:start w:val="1"/>
      <w:numFmt w:val="lowerRoman"/>
      <w:pStyle w:val="Heading5"/>
      <w:lvlText w:val="(%5)"/>
      <w:lvlJc w:val="left"/>
      <w:pPr>
        <w:tabs>
          <w:tab w:val="num" w:pos="1361"/>
        </w:tabs>
        <w:ind w:left="1361" w:hanging="641"/>
      </w:pPr>
    </w:lvl>
    <w:lvl w:ilvl="5">
      <w:start w:val="1"/>
      <w:numFmt w:val="bullet"/>
      <w:pStyle w:val="Heading6"/>
      <w:lvlText w:val=""/>
      <w:lvlJc w:val="left"/>
      <w:pPr>
        <w:tabs>
          <w:tab w:val="num" w:pos="1361"/>
        </w:tabs>
        <w:ind w:left="1361" w:hanging="590"/>
      </w:pPr>
      <w:rPr>
        <w:rFonts w:ascii="Symbol" w:hAnsi="Symbol"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1803F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337839B5"/>
    <w:multiLevelType w:val="hybridMultilevel"/>
    <w:tmpl w:val="4A38D126"/>
    <w:lvl w:ilvl="0" w:tplc="86F87ED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926200C"/>
    <w:multiLevelType w:val="hybridMultilevel"/>
    <w:tmpl w:val="B7A2694C"/>
    <w:lvl w:ilvl="0" w:tplc="1C1E2AC2">
      <w:start w:val="2"/>
      <w:numFmt w:val="lowerRoman"/>
      <w:lvlText w:val="%1)"/>
      <w:lvlJc w:val="left"/>
      <w:pPr>
        <w:tabs>
          <w:tab w:val="num" w:pos="1146"/>
        </w:tabs>
        <w:ind w:left="1146" w:hanging="72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1">
    <w:nsid w:val="3F7B0946"/>
    <w:multiLevelType w:val="singleLevel"/>
    <w:tmpl w:val="08090001"/>
    <w:lvl w:ilvl="0">
      <w:start w:val="1"/>
      <w:numFmt w:val="bullet"/>
      <w:lvlText w:val=""/>
      <w:lvlJc w:val="left"/>
      <w:pPr>
        <w:ind w:left="720" w:hanging="360"/>
      </w:pPr>
      <w:rPr>
        <w:rFonts w:ascii="Symbol" w:hAnsi="Symbol" w:hint="default"/>
      </w:rPr>
    </w:lvl>
  </w:abstractNum>
  <w:abstractNum w:abstractNumId="12">
    <w:nsid w:val="4836751F"/>
    <w:multiLevelType w:val="hybridMultilevel"/>
    <w:tmpl w:val="8F30B83E"/>
    <w:lvl w:ilvl="0" w:tplc="AF642AF0">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8907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D1C61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63BC7267"/>
    <w:multiLevelType w:val="multilevel"/>
    <w:tmpl w:val="FE9082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E672E35"/>
    <w:multiLevelType w:val="hybridMultilevel"/>
    <w:tmpl w:val="467EB3C4"/>
    <w:lvl w:ilvl="0" w:tplc="6E60C7A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FBD06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70A00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2B83DEA"/>
    <w:multiLevelType w:val="singleLevel"/>
    <w:tmpl w:val="0809000F"/>
    <w:lvl w:ilvl="0">
      <w:start w:val="1"/>
      <w:numFmt w:val="decimal"/>
      <w:lvlText w:val="%1."/>
      <w:lvlJc w:val="left"/>
      <w:pPr>
        <w:tabs>
          <w:tab w:val="num" w:pos="360"/>
        </w:tabs>
        <w:ind w:left="360" w:hanging="360"/>
      </w:pPr>
    </w:lvl>
  </w:abstractNum>
  <w:abstractNum w:abstractNumId="20">
    <w:nsid w:val="77ED0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78AD4E32"/>
    <w:multiLevelType w:val="hybridMultilevel"/>
    <w:tmpl w:val="441087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7C8D7C51"/>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13"/>
  </w:num>
  <w:num w:numId="16">
    <w:abstractNumId w:val="8"/>
  </w:num>
  <w:num w:numId="17">
    <w:abstractNumId w:val="3"/>
  </w:num>
  <w:num w:numId="18">
    <w:abstractNumId w:val="17"/>
  </w:num>
  <w:num w:numId="19">
    <w:abstractNumId w:val="5"/>
  </w:num>
  <w:num w:numId="20">
    <w:abstractNumId w:val="18"/>
  </w:num>
  <w:num w:numId="21">
    <w:abstractNumId w:val="11"/>
  </w:num>
  <w:num w:numId="22">
    <w:abstractNumId w:val="20"/>
  </w:num>
  <w:num w:numId="23">
    <w:abstractNumId w:val="14"/>
  </w:num>
  <w:num w:numId="24">
    <w:abstractNumId w:val="15"/>
  </w:num>
  <w:num w:numId="25">
    <w:abstractNumId w:val="12"/>
  </w:num>
  <w:num w:numId="26">
    <w:abstractNumId w:val="9"/>
  </w:num>
  <w:num w:numId="27">
    <w:abstractNumId w:val="4"/>
  </w:num>
  <w:num w:numId="28">
    <w:abstractNumId w:val="22"/>
  </w:num>
  <w:num w:numId="29">
    <w:abstractNumId w:val="10"/>
  </w:num>
  <w:num w:numId="30">
    <w:abstractNumId w:val="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16"/>
  </w:num>
  <w:num w:numId="33">
    <w:abstractNumId w:val="21"/>
  </w:num>
  <w:num w:numId="34">
    <w:abstractNumId w:val="7"/>
    <w:lvlOverride w:ilvl="0">
      <w:startOverride w:val="3"/>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91"/>
    <w:rsid w:val="00013852"/>
    <w:rsid w:val="00025AD5"/>
    <w:rsid w:val="000402FE"/>
    <w:rsid w:val="00043EF7"/>
    <w:rsid w:val="00061A9D"/>
    <w:rsid w:val="00082E50"/>
    <w:rsid w:val="00094429"/>
    <w:rsid w:val="000D10E7"/>
    <w:rsid w:val="00100C6B"/>
    <w:rsid w:val="00101B8E"/>
    <w:rsid w:val="00135FDE"/>
    <w:rsid w:val="0014549A"/>
    <w:rsid w:val="00160824"/>
    <w:rsid w:val="001A5597"/>
    <w:rsid w:val="001B4141"/>
    <w:rsid w:val="001C05FE"/>
    <w:rsid w:val="001C0E05"/>
    <w:rsid w:val="001D2ABA"/>
    <w:rsid w:val="001F196B"/>
    <w:rsid w:val="001F35F4"/>
    <w:rsid w:val="002248A6"/>
    <w:rsid w:val="00234F8E"/>
    <w:rsid w:val="00235025"/>
    <w:rsid w:val="002544B4"/>
    <w:rsid w:val="0025715D"/>
    <w:rsid w:val="002730AE"/>
    <w:rsid w:val="0027555E"/>
    <w:rsid w:val="00280F66"/>
    <w:rsid w:val="00284FC1"/>
    <w:rsid w:val="00293706"/>
    <w:rsid w:val="002A6CC5"/>
    <w:rsid w:val="002B2089"/>
    <w:rsid w:val="00366BA9"/>
    <w:rsid w:val="00410547"/>
    <w:rsid w:val="00416C57"/>
    <w:rsid w:val="00432C6E"/>
    <w:rsid w:val="00480A39"/>
    <w:rsid w:val="00482D3D"/>
    <w:rsid w:val="004C5E79"/>
    <w:rsid w:val="004D66B3"/>
    <w:rsid w:val="004E3D24"/>
    <w:rsid w:val="004F45E9"/>
    <w:rsid w:val="005105BE"/>
    <w:rsid w:val="00530B04"/>
    <w:rsid w:val="00595981"/>
    <w:rsid w:val="005C6C2F"/>
    <w:rsid w:val="005D1C2C"/>
    <w:rsid w:val="005E6152"/>
    <w:rsid w:val="00645E27"/>
    <w:rsid w:val="006643A8"/>
    <w:rsid w:val="00666EC7"/>
    <w:rsid w:val="00686D31"/>
    <w:rsid w:val="006D79D2"/>
    <w:rsid w:val="006E227C"/>
    <w:rsid w:val="006F3A69"/>
    <w:rsid w:val="007016D0"/>
    <w:rsid w:val="007120D0"/>
    <w:rsid w:val="007206E9"/>
    <w:rsid w:val="00733684"/>
    <w:rsid w:val="007573DA"/>
    <w:rsid w:val="00757984"/>
    <w:rsid w:val="00773074"/>
    <w:rsid w:val="007A1B32"/>
    <w:rsid w:val="007B1F2C"/>
    <w:rsid w:val="007C5201"/>
    <w:rsid w:val="007E08B5"/>
    <w:rsid w:val="007F0B76"/>
    <w:rsid w:val="007F3AD2"/>
    <w:rsid w:val="007F728F"/>
    <w:rsid w:val="00810F0E"/>
    <w:rsid w:val="00815AF3"/>
    <w:rsid w:val="00840675"/>
    <w:rsid w:val="0085594F"/>
    <w:rsid w:val="0086401E"/>
    <w:rsid w:val="00871B3F"/>
    <w:rsid w:val="008779C1"/>
    <w:rsid w:val="0089374A"/>
    <w:rsid w:val="008D39A6"/>
    <w:rsid w:val="008D74AB"/>
    <w:rsid w:val="008F0EC0"/>
    <w:rsid w:val="00901570"/>
    <w:rsid w:val="00917B19"/>
    <w:rsid w:val="0092494C"/>
    <w:rsid w:val="0092709E"/>
    <w:rsid w:val="00931F86"/>
    <w:rsid w:val="00971491"/>
    <w:rsid w:val="009765DF"/>
    <w:rsid w:val="00980FBB"/>
    <w:rsid w:val="00985835"/>
    <w:rsid w:val="00992A8B"/>
    <w:rsid w:val="00997F60"/>
    <w:rsid w:val="009B227B"/>
    <w:rsid w:val="009C52DD"/>
    <w:rsid w:val="00A2538E"/>
    <w:rsid w:val="00A33FD6"/>
    <w:rsid w:val="00A65FE3"/>
    <w:rsid w:val="00AA7C57"/>
    <w:rsid w:val="00AD09A5"/>
    <w:rsid w:val="00AD2831"/>
    <w:rsid w:val="00B055D1"/>
    <w:rsid w:val="00B07E5A"/>
    <w:rsid w:val="00B10290"/>
    <w:rsid w:val="00B20266"/>
    <w:rsid w:val="00B42735"/>
    <w:rsid w:val="00BA20EB"/>
    <w:rsid w:val="00BB63A9"/>
    <w:rsid w:val="00BE3111"/>
    <w:rsid w:val="00BF1EC9"/>
    <w:rsid w:val="00C03674"/>
    <w:rsid w:val="00C11E48"/>
    <w:rsid w:val="00C131EB"/>
    <w:rsid w:val="00C27E43"/>
    <w:rsid w:val="00C36D90"/>
    <w:rsid w:val="00C53813"/>
    <w:rsid w:val="00C61051"/>
    <w:rsid w:val="00C667C5"/>
    <w:rsid w:val="00CD0CE7"/>
    <w:rsid w:val="00CD4858"/>
    <w:rsid w:val="00CE7B27"/>
    <w:rsid w:val="00CF6076"/>
    <w:rsid w:val="00D10325"/>
    <w:rsid w:val="00D227DF"/>
    <w:rsid w:val="00D26155"/>
    <w:rsid w:val="00D320B4"/>
    <w:rsid w:val="00D32441"/>
    <w:rsid w:val="00D44199"/>
    <w:rsid w:val="00D65F26"/>
    <w:rsid w:val="00D862C8"/>
    <w:rsid w:val="00DA3ED0"/>
    <w:rsid w:val="00DC5867"/>
    <w:rsid w:val="00DD6A41"/>
    <w:rsid w:val="00DE455A"/>
    <w:rsid w:val="00E00A23"/>
    <w:rsid w:val="00E30C29"/>
    <w:rsid w:val="00EE7328"/>
    <w:rsid w:val="00F122C9"/>
    <w:rsid w:val="00FA1576"/>
    <w:rsid w:val="00FA39A5"/>
    <w:rsid w:val="00FC09AA"/>
    <w:rsid w:val="00FF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196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rFonts w:ascii="Arial" w:hAnsi="Arial"/>
      <w:sz w:val="24"/>
      <w:lang w:eastAsia="en-US"/>
    </w:rPr>
  </w:style>
  <w:style w:type="paragraph" w:styleId="Heading1">
    <w:name w:val="heading 1"/>
    <w:basedOn w:val="Normal"/>
    <w:next w:val="Heading2"/>
    <w:qFormat/>
    <w:pPr>
      <w:keepNext/>
      <w:numPr>
        <w:numId w:val="9"/>
      </w:numPr>
      <w:outlineLvl w:val="0"/>
    </w:pPr>
    <w:rPr>
      <w:b/>
      <w:kern w:val="28"/>
    </w:rPr>
  </w:style>
  <w:style w:type="paragraph" w:styleId="Heading2">
    <w:name w:val="heading 2"/>
    <w:basedOn w:val="Normal"/>
    <w:qFormat/>
    <w:pPr>
      <w:keepNext/>
      <w:numPr>
        <w:ilvl w:val="1"/>
        <w:numId w:val="9"/>
      </w:numPr>
      <w:jc w:val="both"/>
      <w:outlineLvl w:val="1"/>
    </w:pPr>
  </w:style>
  <w:style w:type="paragraph" w:styleId="Heading3">
    <w:name w:val="heading 3"/>
    <w:basedOn w:val="Normal"/>
    <w:qFormat/>
    <w:pPr>
      <w:keepNext/>
      <w:numPr>
        <w:ilvl w:val="2"/>
        <w:numId w:val="9"/>
      </w:numPr>
      <w:jc w:val="both"/>
      <w:outlineLvl w:val="2"/>
    </w:pPr>
  </w:style>
  <w:style w:type="paragraph" w:styleId="Heading4">
    <w:name w:val="heading 4"/>
    <w:basedOn w:val="Normal"/>
    <w:qFormat/>
    <w:pPr>
      <w:keepNext/>
      <w:numPr>
        <w:ilvl w:val="3"/>
        <w:numId w:val="9"/>
      </w:numPr>
      <w:spacing w:before="60" w:after="60"/>
      <w:jc w:val="both"/>
      <w:outlineLvl w:val="3"/>
    </w:pPr>
  </w:style>
  <w:style w:type="paragraph" w:styleId="Heading5">
    <w:name w:val="heading 5"/>
    <w:basedOn w:val="Normal"/>
    <w:qFormat/>
    <w:pPr>
      <w:numPr>
        <w:ilvl w:val="4"/>
        <w:numId w:val="9"/>
      </w:numPr>
      <w:spacing w:before="60" w:after="60"/>
      <w:jc w:val="both"/>
      <w:outlineLvl w:val="4"/>
    </w:pPr>
  </w:style>
  <w:style w:type="paragraph" w:styleId="Heading6">
    <w:name w:val="heading 6"/>
    <w:basedOn w:val="Normal"/>
    <w:qFormat/>
    <w:pPr>
      <w:numPr>
        <w:ilvl w:val="5"/>
        <w:numId w:val="9"/>
      </w:numPr>
      <w:spacing w:before="60" w:after="60"/>
      <w:jc w:val="both"/>
      <w:outlineLvl w:val="5"/>
    </w:pPr>
  </w:style>
  <w:style w:type="paragraph" w:styleId="Heading7">
    <w:name w:val="heading 7"/>
    <w:basedOn w:val="Normal"/>
    <w:next w:val="Normal"/>
    <w:qFormat/>
    <w:pPr>
      <w:numPr>
        <w:ilvl w:val="6"/>
        <w:numId w:val="9"/>
      </w:numPr>
      <w:spacing w:after="60"/>
      <w:outlineLvl w:val="6"/>
    </w:pPr>
  </w:style>
  <w:style w:type="paragraph" w:styleId="Heading8">
    <w:name w:val="heading 8"/>
    <w:basedOn w:val="Normal"/>
    <w:next w:val="Normal"/>
    <w:qFormat/>
    <w:pPr>
      <w:numPr>
        <w:ilvl w:val="7"/>
        <w:numId w:val="9"/>
      </w:numPr>
      <w:spacing w:after="60"/>
      <w:outlineLvl w:val="7"/>
    </w:pPr>
    <w:rPr>
      <w:i/>
    </w:rPr>
  </w:style>
  <w:style w:type="paragraph" w:styleId="Heading9">
    <w:name w:val="heading 9"/>
    <w:basedOn w:val="Normal"/>
    <w:next w:val="Normal"/>
    <w:qFormat/>
    <w:pPr>
      <w:numPr>
        <w:ilvl w:val="8"/>
        <w:numId w:val="9"/>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0"/>
      <w:jc w:val="both"/>
    </w:p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D4858"/>
    <w:rPr>
      <w:rFonts w:ascii="Tahoma" w:hAnsi="Tahoma" w:cs="Tahoma"/>
      <w:sz w:val="16"/>
      <w:szCs w:val="16"/>
    </w:rPr>
  </w:style>
  <w:style w:type="paragraph" w:styleId="Title">
    <w:name w:val="Title"/>
    <w:basedOn w:val="Normal"/>
    <w:qFormat/>
    <w:rsid w:val="00094429"/>
    <w:pPr>
      <w:spacing w:before="0"/>
      <w:jc w:val="center"/>
    </w:pPr>
    <w:rPr>
      <w:rFonts w:ascii="Times New Roman" w:hAnsi="Times New Roman"/>
      <w:b/>
      <w:i/>
      <w:sz w:val="32"/>
      <w:lang w:eastAsia="en-GB"/>
    </w:rPr>
  </w:style>
  <w:style w:type="paragraph" w:styleId="ListBullet">
    <w:name w:val="List Bullet"/>
    <w:basedOn w:val="Normal"/>
    <w:autoRedefine/>
    <w:rsid w:val="00094429"/>
    <w:pPr>
      <w:spacing w:before="0"/>
      <w:ind w:left="426" w:hanging="426"/>
      <w:jc w:val="both"/>
    </w:pPr>
    <w:rPr>
      <w:lang w:eastAsia="en-GB"/>
    </w:rPr>
  </w:style>
  <w:style w:type="paragraph" w:styleId="Subtitle">
    <w:name w:val="Subtitle"/>
    <w:basedOn w:val="Normal"/>
    <w:qFormat/>
    <w:rsid w:val="00094429"/>
    <w:pPr>
      <w:spacing w:before="0"/>
      <w:jc w:val="center"/>
    </w:pPr>
    <w:rPr>
      <w:b/>
      <w:i/>
      <w:sz w:val="36"/>
      <w:lang w:eastAsia="en-GB"/>
    </w:rPr>
  </w:style>
  <w:style w:type="table" w:styleId="TableGrid">
    <w:name w:val="Table Grid"/>
    <w:basedOn w:val="TableNormal"/>
    <w:rsid w:val="000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66E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rFonts w:ascii="Arial" w:hAnsi="Arial"/>
      <w:sz w:val="24"/>
      <w:lang w:eastAsia="en-US"/>
    </w:rPr>
  </w:style>
  <w:style w:type="paragraph" w:styleId="Heading1">
    <w:name w:val="heading 1"/>
    <w:basedOn w:val="Normal"/>
    <w:next w:val="Heading2"/>
    <w:qFormat/>
    <w:pPr>
      <w:keepNext/>
      <w:numPr>
        <w:numId w:val="9"/>
      </w:numPr>
      <w:outlineLvl w:val="0"/>
    </w:pPr>
    <w:rPr>
      <w:b/>
      <w:kern w:val="28"/>
    </w:rPr>
  </w:style>
  <w:style w:type="paragraph" w:styleId="Heading2">
    <w:name w:val="heading 2"/>
    <w:basedOn w:val="Normal"/>
    <w:qFormat/>
    <w:pPr>
      <w:keepNext/>
      <w:numPr>
        <w:ilvl w:val="1"/>
        <w:numId w:val="9"/>
      </w:numPr>
      <w:jc w:val="both"/>
      <w:outlineLvl w:val="1"/>
    </w:pPr>
  </w:style>
  <w:style w:type="paragraph" w:styleId="Heading3">
    <w:name w:val="heading 3"/>
    <w:basedOn w:val="Normal"/>
    <w:qFormat/>
    <w:pPr>
      <w:keepNext/>
      <w:numPr>
        <w:ilvl w:val="2"/>
        <w:numId w:val="9"/>
      </w:numPr>
      <w:jc w:val="both"/>
      <w:outlineLvl w:val="2"/>
    </w:pPr>
  </w:style>
  <w:style w:type="paragraph" w:styleId="Heading4">
    <w:name w:val="heading 4"/>
    <w:basedOn w:val="Normal"/>
    <w:qFormat/>
    <w:pPr>
      <w:keepNext/>
      <w:numPr>
        <w:ilvl w:val="3"/>
        <w:numId w:val="9"/>
      </w:numPr>
      <w:spacing w:before="60" w:after="60"/>
      <w:jc w:val="both"/>
      <w:outlineLvl w:val="3"/>
    </w:pPr>
  </w:style>
  <w:style w:type="paragraph" w:styleId="Heading5">
    <w:name w:val="heading 5"/>
    <w:basedOn w:val="Normal"/>
    <w:qFormat/>
    <w:pPr>
      <w:numPr>
        <w:ilvl w:val="4"/>
        <w:numId w:val="9"/>
      </w:numPr>
      <w:spacing w:before="60" w:after="60"/>
      <w:jc w:val="both"/>
      <w:outlineLvl w:val="4"/>
    </w:pPr>
  </w:style>
  <w:style w:type="paragraph" w:styleId="Heading6">
    <w:name w:val="heading 6"/>
    <w:basedOn w:val="Normal"/>
    <w:qFormat/>
    <w:pPr>
      <w:numPr>
        <w:ilvl w:val="5"/>
        <w:numId w:val="9"/>
      </w:numPr>
      <w:spacing w:before="60" w:after="60"/>
      <w:jc w:val="both"/>
      <w:outlineLvl w:val="5"/>
    </w:pPr>
  </w:style>
  <w:style w:type="paragraph" w:styleId="Heading7">
    <w:name w:val="heading 7"/>
    <w:basedOn w:val="Normal"/>
    <w:next w:val="Normal"/>
    <w:qFormat/>
    <w:pPr>
      <w:numPr>
        <w:ilvl w:val="6"/>
        <w:numId w:val="9"/>
      </w:numPr>
      <w:spacing w:after="60"/>
      <w:outlineLvl w:val="6"/>
    </w:pPr>
  </w:style>
  <w:style w:type="paragraph" w:styleId="Heading8">
    <w:name w:val="heading 8"/>
    <w:basedOn w:val="Normal"/>
    <w:next w:val="Normal"/>
    <w:qFormat/>
    <w:pPr>
      <w:numPr>
        <w:ilvl w:val="7"/>
        <w:numId w:val="9"/>
      </w:numPr>
      <w:spacing w:after="60"/>
      <w:outlineLvl w:val="7"/>
    </w:pPr>
    <w:rPr>
      <w:i/>
    </w:rPr>
  </w:style>
  <w:style w:type="paragraph" w:styleId="Heading9">
    <w:name w:val="heading 9"/>
    <w:basedOn w:val="Normal"/>
    <w:next w:val="Normal"/>
    <w:qFormat/>
    <w:pPr>
      <w:numPr>
        <w:ilvl w:val="8"/>
        <w:numId w:val="9"/>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0"/>
      <w:jc w:val="both"/>
    </w:pPr>
  </w:style>
  <w:style w:type="paragraph" w:styleId="BodyText2">
    <w:name w:val="Body Text 2"/>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CD4858"/>
    <w:rPr>
      <w:rFonts w:ascii="Tahoma" w:hAnsi="Tahoma" w:cs="Tahoma"/>
      <w:sz w:val="16"/>
      <w:szCs w:val="16"/>
    </w:rPr>
  </w:style>
  <w:style w:type="paragraph" w:styleId="Title">
    <w:name w:val="Title"/>
    <w:basedOn w:val="Normal"/>
    <w:qFormat/>
    <w:rsid w:val="00094429"/>
    <w:pPr>
      <w:spacing w:before="0"/>
      <w:jc w:val="center"/>
    </w:pPr>
    <w:rPr>
      <w:rFonts w:ascii="Times New Roman" w:hAnsi="Times New Roman"/>
      <w:b/>
      <w:i/>
      <w:sz w:val="32"/>
      <w:lang w:eastAsia="en-GB"/>
    </w:rPr>
  </w:style>
  <w:style w:type="paragraph" w:styleId="ListBullet">
    <w:name w:val="List Bullet"/>
    <w:basedOn w:val="Normal"/>
    <w:autoRedefine/>
    <w:rsid w:val="00094429"/>
    <w:pPr>
      <w:spacing w:before="0"/>
      <w:ind w:left="426" w:hanging="426"/>
      <w:jc w:val="both"/>
    </w:pPr>
    <w:rPr>
      <w:lang w:eastAsia="en-GB"/>
    </w:rPr>
  </w:style>
  <w:style w:type="paragraph" w:styleId="Subtitle">
    <w:name w:val="Subtitle"/>
    <w:basedOn w:val="Normal"/>
    <w:qFormat/>
    <w:rsid w:val="00094429"/>
    <w:pPr>
      <w:spacing w:before="0"/>
      <w:jc w:val="center"/>
    </w:pPr>
    <w:rPr>
      <w:b/>
      <w:i/>
      <w:sz w:val="36"/>
      <w:lang w:eastAsia="en-GB"/>
    </w:rPr>
  </w:style>
  <w:style w:type="table" w:styleId="TableGrid">
    <w:name w:val="Table Grid"/>
    <w:basedOn w:val="TableNormal"/>
    <w:rsid w:val="000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66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hart" Target="charts/chart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bhfp1\Office\Templates\TVBC\COMMITTEE%20report%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testvalleyintranet/sites/CorporateDocuments/Complaints/Procedure/Data%20for%20report%20to%20OSCOM%202014-15/Data%20comparisons%20for%20complaints%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testvalleyintranet/sites/CorporateDocuments/Complaints/Procedure/Data%20for%20report%20to%20OSCOM%202014-15/Data%20comparisons%20for%20complaints%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testvalleyintranet/sites/CorporateDocuments/Complaints/Procedure/Data%20for%20report%20to%20OSCOM%202014-15/Data%20comparisons%20for%20complaints%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Number of  complaints 2012-2016</a:t>
            </a:r>
          </a:p>
        </c:rich>
      </c:tx>
      <c:layout/>
      <c:overlay val="0"/>
    </c:title>
    <c:autoTitleDeleted val="0"/>
    <c:plotArea>
      <c:layout/>
      <c:barChart>
        <c:barDir val="col"/>
        <c:grouping val="clustered"/>
        <c:varyColors val="0"/>
        <c:ser>
          <c:idx val="0"/>
          <c:order val="0"/>
          <c:tx>
            <c:v>Number of complaints </c:v>
          </c:tx>
          <c:invertIfNegative val="0"/>
          <c:cat>
            <c:strRef>
              <c:f>Sheet1!$B$5:$E$5</c:f>
              <c:strCache>
                <c:ptCount val="4"/>
                <c:pt idx="0">
                  <c:v>2012/13</c:v>
                </c:pt>
                <c:pt idx="1">
                  <c:v>2013/14</c:v>
                </c:pt>
                <c:pt idx="2">
                  <c:v>2014/15</c:v>
                </c:pt>
                <c:pt idx="3">
                  <c:v>2015/16</c:v>
                </c:pt>
              </c:strCache>
            </c:strRef>
          </c:cat>
          <c:val>
            <c:numRef>
              <c:f>Sheet1!$B$6:$E$6</c:f>
              <c:numCache>
                <c:formatCode>General</c:formatCode>
                <c:ptCount val="4"/>
                <c:pt idx="0">
                  <c:v>189</c:v>
                </c:pt>
                <c:pt idx="1">
                  <c:v>208</c:v>
                </c:pt>
                <c:pt idx="2">
                  <c:v>265</c:v>
                </c:pt>
                <c:pt idx="3">
                  <c:v>260</c:v>
                </c:pt>
              </c:numCache>
            </c:numRef>
          </c:val>
        </c:ser>
        <c:dLbls>
          <c:showLegendKey val="0"/>
          <c:showVal val="0"/>
          <c:showCatName val="0"/>
          <c:showSerName val="0"/>
          <c:showPercent val="0"/>
          <c:showBubbleSize val="0"/>
        </c:dLbls>
        <c:gapWidth val="150"/>
        <c:axId val="49958272"/>
        <c:axId val="83761024"/>
      </c:barChart>
      <c:catAx>
        <c:axId val="49958272"/>
        <c:scaling>
          <c:orientation val="minMax"/>
        </c:scaling>
        <c:delete val="0"/>
        <c:axPos val="b"/>
        <c:majorTickMark val="out"/>
        <c:minorTickMark val="none"/>
        <c:tickLblPos val="nextTo"/>
        <c:crossAx val="83761024"/>
        <c:crosses val="autoZero"/>
        <c:auto val="1"/>
        <c:lblAlgn val="ctr"/>
        <c:lblOffset val="100"/>
        <c:noMultiLvlLbl val="0"/>
      </c:catAx>
      <c:valAx>
        <c:axId val="83761024"/>
        <c:scaling>
          <c:orientation val="minMax"/>
        </c:scaling>
        <c:delete val="0"/>
        <c:axPos val="l"/>
        <c:majorGridlines/>
        <c:numFmt formatCode="General" sourceLinked="1"/>
        <c:majorTickMark val="out"/>
        <c:minorTickMark val="none"/>
        <c:tickLblPos val="nextTo"/>
        <c:crossAx val="49958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Volume</a:t>
            </a:r>
            <a:r>
              <a:rPr lang="en-US" baseline="0"/>
              <a:t> of contact 2012-2016</a:t>
            </a:r>
            <a:endParaRPr lang="en-US"/>
          </a:p>
        </c:rich>
      </c:tx>
      <c:layout/>
      <c:overlay val="0"/>
    </c:title>
    <c:autoTitleDeleted val="0"/>
    <c:plotArea>
      <c:layout/>
      <c:barChart>
        <c:barDir val="col"/>
        <c:grouping val="clustered"/>
        <c:varyColors val="0"/>
        <c:ser>
          <c:idx val="0"/>
          <c:order val="0"/>
          <c:invertIfNegative val="0"/>
          <c:cat>
            <c:multiLvlStrRef>
              <c:f>Sheet1!$B$9:$E$11</c:f>
              <c:multiLvlStrCache>
                <c:ptCount val="4"/>
                <c:lvl>
                  <c:pt idx="0">
                    <c:v>2012/13</c:v>
                  </c:pt>
                  <c:pt idx="1">
                    <c:v>2013/14</c:v>
                  </c:pt>
                  <c:pt idx="2">
                    <c:v>2014/15</c:v>
                  </c:pt>
                  <c:pt idx="3">
                    <c:v>2015/16</c:v>
                  </c:pt>
                </c:lvl>
                <c:lvl>
                  <c:pt idx="0">
                    <c:v>Volume of contact via CSU telephone and face to face and unique web visits</c:v>
                  </c:pt>
                </c:lvl>
              </c:multiLvlStrCache>
            </c:multiLvlStrRef>
          </c:cat>
          <c:val>
            <c:numRef>
              <c:f>Sheet1!$B$12:$E$12</c:f>
              <c:numCache>
                <c:formatCode>General</c:formatCode>
                <c:ptCount val="4"/>
                <c:pt idx="0">
                  <c:v>323000</c:v>
                </c:pt>
                <c:pt idx="1">
                  <c:v>370000</c:v>
                </c:pt>
                <c:pt idx="2">
                  <c:v>395000</c:v>
                </c:pt>
                <c:pt idx="3">
                  <c:v>395000</c:v>
                </c:pt>
              </c:numCache>
            </c:numRef>
          </c:val>
        </c:ser>
        <c:dLbls>
          <c:showLegendKey val="0"/>
          <c:showVal val="0"/>
          <c:showCatName val="0"/>
          <c:showSerName val="0"/>
          <c:showPercent val="0"/>
          <c:showBubbleSize val="0"/>
        </c:dLbls>
        <c:gapWidth val="150"/>
        <c:axId val="197864832"/>
        <c:axId val="208816768"/>
      </c:barChart>
      <c:catAx>
        <c:axId val="197864832"/>
        <c:scaling>
          <c:orientation val="minMax"/>
        </c:scaling>
        <c:delete val="0"/>
        <c:axPos val="b"/>
        <c:majorTickMark val="out"/>
        <c:minorTickMark val="none"/>
        <c:tickLblPos val="nextTo"/>
        <c:txPr>
          <a:bodyPr/>
          <a:lstStyle/>
          <a:p>
            <a:pPr>
              <a:defRPr baseline="0">
                <a:latin typeface="Arial" panose="020B0604020202020204" pitchFamily="34" charset="0"/>
              </a:defRPr>
            </a:pPr>
            <a:endParaRPr lang="en-US"/>
          </a:p>
        </c:txPr>
        <c:crossAx val="208816768"/>
        <c:crosses val="autoZero"/>
        <c:auto val="1"/>
        <c:lblAlgn val="ctr"/>
        <c:lblOffset val="100"/>
        <c:noMultiLvlLbl val="0"/>
      </c:catAx>
      <c:valAx>
        <c:axId val="208816768"/>
        <c:scaling>
          <c:orientation val="minMax"/>
        </c:scaling>
        <c:delete val="0"/>
        <c:axPos val="l"/>
        <c:majorGridlines/>
        <c:numFmt formatCode="General" sourceLinked="1"/>
        <c:majorTickMark val="out"/>
        <c:minorTickMark val="none"/>
        <c:tickLblPos val="nextTo"/>
        <c:crossAx val="1978648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2012-2016 (%)</a:t>
            </a:r>
          </a:p>
        </c:rich>
      </c:tx>
      <c:layout/>
      <c:overlay val="0"/>
    </c:title>
    <c:autoTitleDeleted val="0"/>
    <c:plotArea>
      <c:layout/>
      <c:barChart>
        <c:barDir val="col"/>
        <c:grouping val="clustered"/>
        <c:varyColors val="0"/>
        <c:ser>
          <c:idx val="0"/>
          <c:order val="0"/>
          <c:tx>
            <c:strRef>
              <c:f>Sheet1!$B$17</c:f>
              <c:strCache>
                <c:ptCount val="1"/>
                <c:pt idx="0">
                  <c:v>2012/13</c:v>
                </c:pt>
              </c:strCache>
            </c:strRef>
          </c:tx>
          <c:invertIfNegative val="0"/>
          <c:cat>
            <c:strRef>
              <c:f>Sheet1!$A$18:$A$21</c:f>
              <c:strCache>
                <c:ptCount val="4"/>
                <c:pt idx="0">
                  <c:v>Council error/incorrect action</c:v>
                </c:pt>
                <c:pt idx="1">
                  <c:v>Unhappy with decision taken</c:v>
                </c:pt>
                <c:pt idx="2">
                  <c:v>No response/poor communications</c:v>
                </c:pt>
                <c:pt idx="3">
                  <c:v>Staff conduct</c:v>
                </c:pt>
              </c:strCache>
            </c:strRef>
          </c:cat>
          <c:val>
            <c:numRef>
              <c:f>Sheet1!$B$18:$B$21</c:f>
              <c:numCache>
                <c:formatCode>0%</c:formatCode>
                <c:ptCount val="4"/>
                <c:pt idx="0">
                  <c:v>0.23</c:v>
                </c:pt>
                <c:pt idx="1">
                  <c:v>0.15</c:v>
                </c:pt>
                <c:pt idx="2">
                  <c:v>0.06</c:v>
                </c:pt>
                <c:pt idx="3">
                  <c:v>0.05</c:v>
                </c:pt>
              </c:numCache>
            </c:numRef>
          </c:val>
        </c:ser>
        <c:ser>
          <c:idx val="1"/>
          <c:order val="1"/>
          <c:tx>
            <c:strRef>
              <c:f>Sheet1!$C$17</c:f>
              <c:strCache>
                <c:ptCount val="1"/>
                <c:pt idx="0">
                  <c:v>2013/14 </c:v>
                </c:pt>
              </c:strCache>
            </c:strRef>
          </c:tx>
          <c:invertIfNegative val="0"/>
          <c:cat>
            <c:strRef>
              <c:f>Sheet1!$A$18:$A$21</c:f>
              <c:strCache>
                <c:ptCount val="4"/>
                <c:pt idx="0">
                  <c:v>Council error/incorrect action</c:v>
                </c:pt>
                <c:pt idx="1">
                  <c:v>Unhappy with decision taken</c:v>
                </c:pt>
                <c:pt idx="2">
                  <c:v>No response/poor communications</c:v>
                </c:pt>
                <c:pt idx="3">
                  <c:v>Staff conduct</c:v>
                </c:pt>
              </c:strCache>
            </c:strRef>
          </c:cat>
          <c:val>
            <c:numRef>
              <c:f>Sheet1!$C$18:$C$21</c:f>
              <c:numCache>
                <c:formatCode>0%</c:formatCode>
                <c:ptCount val="4"/>
                <c:pt idx="0">
                  <c:v>0.05</c:v>
                </c:pt>
                <c:pt idx="1">
                  <c:v>0.28999999999999998</c:v>
                </c:pt>
                <c:pt idx="2">
                  <c:v>0.06</c:v>
                </c:pt>
                <c:pt idx="3">
                  <c:v>0.05</c:v>
                </c:pt>
              </c:numCache>
            </c:numRef>
          </c:val>
        </c:ser>
        <c:ser>
          <c:idx val="2"/>
          <c:order val="2"/>
          <c:tx>
            <c:strRef>
              <c:f>Sheet1!$D$17</c:f>
              <c:strCache>
                <c:ptCount val="1"/>
                <c:pt idx="0">
                  <c:v>2014/15</c:v>
                </c:pt>
              </c:strCache>
            </c:strRef>
          </c:tx>
          <c:invertIfNegative val="0"/>
          <c:cat>
            <c:strRef>
              <c:f>Sheet1!$A$18:$A$21</c:f>
              <c:strCache>
                <c:ptCount val="4"/>
                <c:pt idx="0">
                  <c:v>Council error/incorrect action</c:v>
                </c:pt>
                <c:pt idx="1">
                  <c:v>Unhappy with decision taken</c:v>
                </c:pt>
                <c:pt idx="2">
                  <c:v>No response/poor communications</c:v>
                </c:pt>
                <c:pt idx="3">
                  <c:v>Staff conduct</c:v>
                </c:pt>
              </c:strCache>
            </c:strRef>
          </c:cat>
          <c:val>
            <c:numRef>
              <c:f>Sheet1!$D$18:$D$21</c:f>
              <c:numCache>
                <c:formatCode>0%</c:formatCode>
                <c:ptCount val="4"/>
                <c:pt idx="0">
                  <c:v>0.22</c:v>
                </c:pt>
                <c:pt idx="1">
                  <c:v>7.0000000000000007E-2</c:v>
                </c:pt>
                <c:pt idx="2">
                  <c:v>0.14000000000000001</c:v>
                </c:pt>
                <c:pt idx="3">
                  <c:v>0.1</c:v>
                </c:pt>
              </c:numCache>
            </c:numRef>
          </c:val>
        </c:ser>
        <c:ser>
          <c:idx val="3"/>
          <c:order val="3"/>
          <c:tx>
            <c:strRef>
              <c:f>Sheet1!$E$17</c:f>
              <c:strCache>
                <c:ptCount val="1"/>
                <c:pt idx="0">
                  <c:v>2015/16</c:v>
                </c:pt>
              </c:strCache>
            </c:strRef>
          </c:tx>
          <c:invertIfNegative val="0"/>
          <c:cat>
            <c:strRef>
              <c:f>Sheet1!$A$18:$A$21</c:f>
              <c:strCache>
                <c:ptCount val="4"/>
                <c:pt idx="0">
                  <c:v>Council error/incorrect action</c:v>
                </c:pt>
                <c:pt idx="1">
                  <c:v>Unhappy with decision taken</c:v>
                </c:pt>
                <c:pt idx="2">
                  <c:v>No response/poor communications</c:v>
                </c:pt>
                <c:pt idx="3">
                  <c:v>Staff conduct</c:v>
                </c:pt>
              </c:strCache>
            </c:strRef>
          </c:cat>
          <c:val>
            <c:numRef>
              <c:f>Sheet1!$E$18:$E$21</c:f>
              <c:numCache>
                <c:formatCode>0%</c:formatCode>
                <c:ptCount val="4"/>
                <c:pt idx="0">
                  <c:v>0.34</c:v>
                </c:pt>
                <c:pt idx="1">
                  <c:v>0.1</c:v>
                </c:pt>
                <c:pt idx="2">
                  <c:v>7.0000000000000007E-2</c:v>
                </c:pt>
                <c:pt idx="3">
                  <c:v>0.1</c:v>
                </c:pt>
              </c:numCache>
            </c:numRef>
          </c:val>
        </c:ser>
        <c:dLbls>
          <c:showLegendKey val="0"/>
          <c:showVal val="0"/>
          <c:showCatName val="0"/>
          <c:showSerName val="0"/>
          <c:showPercent val="0"/>
          <c:showBubbleSize val="0"/>
        </c:dLbls>
        <c:gapWidth val="150"/>
        <c:axId val="242947584"/>
        <c:axId val="276464384"/>
      </c:barChart>
      <c:catAx>
        <c:axId val="242947584"/>
        <c:scaling>
          <c:orientation val="minMax"/>
        </c:scaling>
        <c:delete val="0"/>
        <c:axPos val="b"/>
        <c:majorTickMark val="out"/>
        <c:minorTickMark val="none"/>
        <c:tickLblPos val="nextTo"/>
        <c:txPr>
          <a:bodyPr/>
          <a:lstStyle/>
          <a:p>
            <a:pPr>
              <a:defRPr sz="800"/>
            </a:pPr>
            <a:endParaRPr lang="en-US"/>
          </a:p>
        </c:txPr>
        <c:crossAx val="276464384"/>
        <c:crosses val="autoZero"/>
        <c:auto val="1"/>
        <c:lblAlgn val="ctr"/>
        <c:lblOffset val="100"/>
        <c:noMultiLvlLbl val="0"/>
      </c:catAx>
      <c:valAx>
        <c:axId val="276464384"/>
        <c:scaling>
          <c:orientation val="minMax"/>
        </c:scaling>
        <c:delete val="0"/>
        <c:axPos val="l"/>
        <c:majorGridlines/>
        <c:numFmt formatCode="0%" sourceLinked="1"/>
        <c:majorTickMark val="out"/>
        <c:minorTickMark val="none"/>
        <c:tickLblPos val="nextTo"/>
        <c:crossAx val="24294758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2B3CA70963340A4FD6F35C2E5E6B5" ma:contentTypeVersion="1" ma:contentTypeDescription="Create a new document." ma:contentTypeScope="" ma:versionID="56667d3b56fc7f7e8bcaa884dde8a7d8">
  <xsd:schema xmlns:xsd="http://www.w3.org/2001/XMLSchema" xmlns:xs="http://www.w3.org/2001/XMLSchema" xmlns:p="http://schemas.microsoft.com/office/2006/metadata/properties" xmlns:ns2="23860e19-70d3-4790-b901-ccca0f8c1021" targetNamespace="http://schemas.microsoft.com/office/2006/metadata/properties" ma:root="true" ma:fieldsID="30ce9187d4698394948090c8dd12ba66" ns2:_="">
    <xsd:import namespace="23860e19-70d3-4790-b901-ccca0f8c102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60e19-70d3-4790-b901-ccca0f8c10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3860e19-70d3-4790-b901-ccca0f8c1021">YAHKXMMF6S6Y-63-29</_dlc_DocId>
    <_dlc_DocIdUrl xmlns="23860e19-70d3-4790-b901-ccca0f8c1021">
      <Url>http://testvalleyintranet/sites/CorporateDocuments/Complaints/_layouts/DocIdRedir.aspx?ID=YAHKXMMF6S6Y-63-29</Url>
      <Description>YAHKXMMF6S6Y-63-29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4ED9-6672-492B-9D6B-7C6FF6657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60e19-70d3-4790-b901-ccca0f8c1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68FC8-B4DA-4724-B690-E2DEB40E9EE4}">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3860e19-70d3-4790-b901-ccca0f8c1021"/>
  </ds:schemaRefs>
</ds:datastoreItem>
</file>

<file path=customXml/itemProps3.xml><?xml version="1.0" encoding="utf-8"?>
<ds:datastoreItem xmlns:ds="http://schemas.openxmlformats.org/officeDocument/2006/customXml" ds:itemID="{F8A06957-BE66-4C05-A9A1-6BF026AE300C}">
  <ds:schemaRefs>
    <ds:schemaRef ds:uri="http://schemas.microsoft.com/sharepoint/events"/>
  </ds:schemaRefs>
</ds:datastoreItem>
</file>

<file path=customXml/itemProps4.xml><?xml version="1.0" encoding="utf-8"?>
<ds:datastoreItem xmlns:ds="http://schemas.openxmlformats.org/officeDocument/2006/customXml" ds:itemID="{30CF3F88-ECD6-49D0-9B5C-A3B4BA256124}">
  <ds:schemaRefs>
    <ds:schemaRef ds:uri="http://schemas.microsoft.com/sharepoint/v3/contenttype/forms"/>
  </ds:schemaRefs>
</ds:datastoreItem>
</file>

<file path=customXml/itemProps5.xml><?xml version="1.0" encoding="utf-8"?>
<ds:datastoreItem xmlns:ds="http://schemas.openxmlformats.org/officeDocument/2006/customXml" ds:itemID="{8B575F0A-24BC-4C58-88C5-6771AB79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report template</Template>
  <TotalTime>335</TotalTime>
  <Pages>9</Pages>
  <Words>1951</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Background</vt:lpstr>
    </vt:vector>
  </TitlesOfParts>
  <Company>Test Valley Borough Council</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McKenzie-Robinson, Tracey</dc:creator>
  <cp:lastModifiedBy>Rodford, Rebecca</cp:lastModifiedBy>
  <cp:revision>33</cp:revision>
  <cp:lastPrinted>2016-07-18T12:19:00Z</cp:lastPrinted>
  <dcterms:created xsi:type="dcterms:W3CDTF">2016-06-17T12:56:00Z</dcterms:created>
  <dcterms:modified xsi:type="dcterms:W3CDTF">2016-08-30T13:36:00Z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373795373</vt:i4>
  </property>
  <property fmtid="{D5CDD505-2E9C-101B-9397-08002B2CF9AE}" pid="3" name="_EmailSubject">
    <vt:lpwstr>New Committee Report Template</vt:lpwstr>
  </property>
  <property fmtid="{D5CDD505-2E9C-101B-9397-08002B2CF9AE}" pid="4" name="_AuthorEmail">
    <vt:lpwstr>CLovelock@testvalley.gov.uk</vt:lpwstr>
  </property>
  <property fmtid="{D5CDD505-2E9C-101B-9397-08002B2CF9AE}" pid="5" name="_AuthorEmailDisplayName">
    <vt:lpwstr>Lovelock, Caroline</vt:lpwstr>
  </property>
  <property fmtid="{D5CDD505-2E9C-101B-9397-08002B2CF9AE}" pid="6" name="_PreviousAdHocReviewCycleID">
    <vt:i4>2093412772</vt:i4>
  </property>
  <property fmtid="{D5CDD505-2E9C-101B-9397-08002B2CF9AE}" pid="7" name="_ReviewingToolsShownOnce">
    <vt:lpwstr/>
  </property>
  <property fmtid="{D5CDD505-2E9C-101B-9397-08002B2CF9AE}" pid="8" name="ContentTypeId">
    <vt:lpwstr>0x01010004C2B3CA70963340A4FD6F35C2E5E6B5</vt:lpwstr>
  </property>
  <property fmtid="{D5CDD505-2E9C-101B-9397-08002B2CF9AE}" pid="9" name="_dlc_DocIdItemGuid">
    <vt:lpwstr>7fb7c01f-5bea-4c65-a2d0-9445c819d689</vt:lpwstr>
  </property>
</Properties>
</file>