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16A31" w14:textId="1E53A5E1" w:rsidR="00885CD9" w:rsidRDefault="00885CD9" w:rsidP="1F6C3FD5">
      <w:pPr>
        <w:spacing w:line="360" w:lineRule="auto"/>
        <w:rPr>
          <w:rFonts w:ascii="Arial" w:hAnsi="Arial" w:cs="Arial"/>
          <w:b/>
          <w:bCs/>
          <w:sz w:val="96"/>
          <w:szCs w:val="96"/>
        </w:rPr>
      </w:pPr>
    </w:p>
    <w:p w14:paraId="280D00F7" w14:textId="5373C0DB" w:rsidR="1F6C3FD5" w:rsidRDefault="1F6C3FD5" w:rsidP="1F6C3FD5">
      <w:pPr>
        <w:spacing w:line="360" w:lineRule="auto"/>
        <w:rPr>
          <w:rFonts w:ascii="Arial" w:hAnsi="Arial" w:cs="Arial"/>
          <w:b/>
          <w:bCs/>
          <w:sz w:val="96"/>
          <w:szCs w:val="96"/>
        </w:rPr>
      </w:pPr>
    </w:p>
    <w:p w14:paraId="465E9D2D" w14:textId="3403E6BA" w:rsidR="00885CD9" w:rsidRDefault="00885CD9" w:rsidP="00885CD9">
      <w:pPr>
        <w:spacing w:line="360" w:lineRule="auto"/>
        <w:rPr>
          <w:rFonts w:ascii="Arial" w:hAnsi="Arial" w:cs="Arial"/>
          <w:b/>
          <w:sz w:val="96"/>
          <w:szCs w:val="96"/>
        </w:rPr>
      </w:pPr>
    </w:p>
    <w:p w14:paraId="1BF16C3C" w14:textId="2E338362" w:rsidR="00575BE5" w:rsidRDefault="00575BE5" w:rsidP="00575BE5">
      <w:pPr>
        <w:spacing w:line="360" w:lineRule="auto"/>
        <w:rPr>
          <w:rFonts w:ascii="Arial" w:hAnsi="Arial" w:cs="Arial"/>
          <w:b/>
          <w:bCs/>
          <w:sz w:val="72"/>
          <w:szCs w:val="72"/>
        </w:rPr>
      </w:pPr>
      <w:bookmarkStart w:id="0" w:name="_Hlk193712920"/>
      <w:r>
        <w:rPr>
          <w:rFonts w:ascii="Arial" w:hAnsi="Arial" w:cs="Arial"/>
          <w:b/>
          <w:bCs/>
          <w:sz w:val="72"/>
          <w:szCs w:val="72"/>
        </w:rPr>
        <w:t xml:space="preserve">Test Valley Borough Council </w:t>
      </w:r>
    </w:p>
    <w:p w14:paraId="5CB7B950" w14:textId="0A0F75B1" w:rsidR="00575BE5" w:rsidRDefault="00575BE5" w:rsidP="00575BE5">
      <w:pPr>
        <w:spacing w:line="360" w:lineRule="auto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sz w:val="72"/>
          <w:szCs w:val="72"/>
        </w:rPr>
        <w:t xml:space="preserve">Population </w:t>
      </w:r>
      <w:r w:rsidR="1F6C3FD5" w:rsidRPr="1F6C3FD5">
        <w:rPr>
          <w:rFonts w:ascii="Arial" w:hAnsi="Arial" w:cs="Arial"/>
          <w:b/>
          <w:bCs/>
          <w:sz w:val="72"/>
          <w:szCs w:val="72"/>
        </w:rPr>
        <w:t xml:space="preserve">Equality information </w:t>
      </w:r>
    </w:p>
    <w:p w14:paraId="196A03CA" w14:textId="48F6BC25" w:rsidR="00885CD9" w:rsidRPr="00885CD9" w:rsidRDefault="00996A8C" w:rsidP="1F6C3FD5">
      <w:pPr>
        <w:spacing w:line="360" w:lineRule="auto"/>
        <w:jc w:val="both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sz w:val="72"/>
          <w:szCs w:val="72"/>
        </w:rPr>
        <w:t>202</w:t>
      </w:r>
      <w:r w:rsidR="00480620">
        <w:rPr>
          <w:rFonts w:ascii="Arial" w:hAnsi="Arial" w:cs="Arial"/>
          <w:b/>
          <w:bCs/>
          <w:sz w:val="72"/>
          <w:szCs w:val="72"/>
        </w:rPr>
        <w:t>5</w:t>
      </w:r>
    </w:p>
    <w:p w14:paraId="1320219F" w14:textId="165482A2" w:rsidR="00885CD9" w:rsidRDefault="00885CD9" w:rsidP="00885CD9">
      <w:pPr>
        <w:spacing w:line="360" w:lineRule="auto"/>
        <w:jc w:val="both"/>
        <w:rPr>
          <w:rFonts w:ascii="Arial" w:hAnsi="Arial" w:cs="Arial"/>
          <w:b/>
          <w:sz w:val="96"/>
          <w:szCs w:val="96"/>
        </w:rPr>
      </w:pPr>
    </w:p>
    <w:p w14:paraId="52B67DF1" w14:textId="64A6B003" w:rsidR="00885CD9" w:rsidRDefault="00885CD9" w:rsidP="00885CD9">
      <w:pPr>
        <w:spacing w:line="360" w:lineRule="auto"/>
        <w:jc w:val="both"/>
        <w:rPr>
          <w:rFonts w:ascii="Arial" w:hAnsi="Arial" w:cs="Arial"/>
          <w:b/>
          <w:sz w:val="96"/>
          <w:szCs w:val="96"/>
        </w:rPr>
      </w:pPr>
    </w:p>
    <w:p w14:paraId="688631E1" w14:textId="77777777" w:rsidR="00E46110" w:rsidRDefault="00E46110" w:rsidP="00787D2C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1E54DD20" w14:textId="0E22CFAF" w:rsidR="00787D2C" w:rsidRPr="00F64165" w:rsidRDefault="00D549F8" w:rsidP="00787D2C">
      <w:pPr>
        <w:spacing w:line="360" w:lineRule="auto"/>
        <w:jc w:val="both"/>
        <w:rPr>
          <w:rFonts w:ascii="Arial" w:hAnsi="Arial" w:cs="Arial"/>
          <w:b/>
          <w:sz w:val="96"/>
          <w:szCs w:val="96"/>
        </w:rPr>
      </w:pPr>
      <w:r w:rsidRPr="00623A04">
        <w:rPr>
          <w:rFonts w:ascii="Arial" w:hAnsi="Arial" w:cs="Arial"/>
          <w:b/>
          <w:bCs/>
          <w:sz w:val="32"/>
          <w:szCs w:val="32"/>
        </w:rPr>
        <w:lastRenderedPageBreak/>
        <w:t>Introduction</w:t>
      </w:r>
    </w:p>
    <w:p w14:paraId="23CB4378" w14:textId="3E0C4752" w:rsidR="00787D2C" w:rsidRDefault="00787D2C" w:rsidP="00787D2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report outlines demographic information about the population of Test Valley, including </w:t>
      </w:r>
      <w:r w:rsidRPr="00787D2C">
        <w:rPr>
          <w:rFonts w:ascii="Arial" w:hAnsi="Arial" w:cs="Arial"/>
        </w:rPr>
        <w:t>age</w:t>
      </w:r>
      <w:r>
        <w:rPr>
          <w:rFonts w:ascii="Arial" w:hAnsi="Arial" w:cs="Arial"/>
        </w:rPr>
        <w:t xml:space="preserve">, </w:t>
      </w:r>
      <w:r w:rsidRPr="00787D2C">
        <w:rPr>
          <w:rFonts w:ascii="Arial" w:hAnsi="Arial" w:cs="Arial"/>
        </w:rPr>
        <w:t>disability</w:t>
      </w:r>
      <w:r>
        <w:rPr>
          <w:rFonts w:ascii="Arial" w:hAnsi="Arial" w:cs="Arial"/>
        </w:rPr>
        <w:t xml:space="preserve">, </w:t>
      </w:r>
      <w:r w:rsidRPr="00787D2C">
        <w:rPr>
          <w:rFonts w:ascii="Arial" w:hAnsi="Arial" w:cs="Arial"/>
        </w:rPr>
        <w:t>gender reassignment</w:t>
      </w:r>
      <w:r>
        <w:rPr>
          <w:rFonts w:ascii="Arial" w:hAnsi="Arial" w:cs="Arial"/>
        </w:rPr>
        <w:t xml:space="preserve">, </w:t>
      </w:r>
      <w:r w:rsidRPr="00787D2C">
        <w:rPr>
          <w:rFonts w:ascii="Arial" w:hAnsi="Arial" w:cs="Arial"/>
        </w:rPr>
        <w:t>sex</w:t>
      </w:r>
      <w:r>
        <w:rPr>
          <w:rFonts w:ascii="Arial" w:hAnsi="Arial" w:cs="Arial"/>
        </w:rPr>
        <w:t xml:space="preserve">, </w:t>
      </w:r>
      <w:r w:rsidRPr="00787D2C">
        <w:rPr>
          <w:rFonts w:ascii="Arial" w:hAnsi="Arial" w:cs="Arial"/>
        </w:rPr>
        <w:t>gender</w:t>
      </w:r>
      <w:r>
        <w:rPr>
          <w:rFonts w:ascii="Arial" w:hAnsi="Arial" w:cs="Arial"/>
        </w:rPr>
        <w:t xml:space="preserve">, </w:t>
      </w:r>
      <w:r w:rsidRPr="00787D2C">
        <w:rPr>
          <w:rFonts w:ascii="Arial" w:hAnsi="Arial" w:cs="Arial"/>
        </w:rPr>
        <w:t>sexual orientation</w:t>
      </w:r>
      <w:r>
        <w:rPr>
          <w:rFonts w:ascii="Arial" w:hAnsi="Arial" w:cs="Arial"/>
        </w:rPr>
        <w:t xml:space="preserve">, </w:t>
      </w:r>
      <w:r w:rsidRPr="00787D2C">
        <w:rPr>
          <w:rFonts w:ascii="Arial" w:hAnsi="Arial" w:cs="Arial"/>
        </w:rPr>
        <w:t>religion or belief (includes lack of belief)</w:t>
      </w:r>
      <w:r>
        <w:rPr>
          <w:rFonts w:ascii="Arial" w:hAnsi="Arial" w:cs="Arial"/>
        </w:rPr>
        <w:t xml:space="preserve">, </w:t>
      </w:r>
      <w:r w:rsidRPr="00787D2C">
        <w:rPr>
          <w:rFonts w:ascii="Arial" w:hAnsi="Arial" w:cs="Arial"/>
        </w:rPr>
        <w:t>race</w:t>
      </w:r>
      <w:r>
        <w:rPr>
          <w:rFonts w:ascii="Arial" w:hAnsi="Arial" w:cs="Arial"/>
        </w:rPr>
        <w:t xml:space="preserve"> and </w:t>
      </w:r>
      <w:r w:rsidRPr="00787D2C">
        <w:rPr>
          <w:rFonts w:ascii="Arial" w:hAnsi="Arial" w:cs="Arial"/>
        </w:rPr>
        <w:t>marriage.</w:t>
      </w:r>
      <w:r>
        <w:rPr>
          <w:rFonts w:ascii="Arial" w:hAnsi="Arial" w:cs="Arial"/>
        </w:rPr>
        <w:t xml:space="preserve"> Compiling, analysing and presenting this data forms part of our </w:t>
      </w:r>
      <w:r w:rsidRPr="00787D2C">
        <w:rPr>
          <w:rFonts w:ascii="Arial" w:hAnsi="Arial" w:cs="Arial"/>
        </w:rPr>
        <w:t>longstanding commitments to empower our communities, ensure all voices are heard and help us meet the aims of the Public Sector Equality Duty.</w:t>
      </w:r>
    </w:p>
    <w:p w14:paraId="2DB34CE5" w14:textId="6C360E17" w:rsidR="00787D2C" w:rsidRDefault="00787D2C" w:rsidP="00787D2C">
      <w:pPr>
        <w:spacing w:line="360" w:lineRule="auto"/>
        <w:jc w:val="both"/>
        <w:rPr>
          <w:rFonts w:ascii="Arial" w:hAnsi="Arial" w:cs="Arial"/>
        </w:rPr>
      </w:pPr>
    </w:p>
    <w:p w14:paraId="2869479F" w14:textId="23D6312F" w:rsidR="00623A04" w:rsidRDefault="00623A04" w:rsidP="00787D2C">
      <w:pPr>
        <w:spacing w:line="360" w:lineRule="auto"/>
        <w:jc w:val="both"/>
        <w:rPr>
          <w:rFonts w:ascii="Arial" w:hAnsi="Arial" w:cs="Arial"/>
        </w:rPr>
      </w:pPr>
      <w:r w:rsidRPr="00623A04">
        <w:rPr>
          <w:rFonts w:ascii="Arial" w:hAnsi="Arial" w:cs="Arial"/>
        </w:rPr>
        <w:t xml:space="preserve">In April 2023, </w:t>
      </w:r>
      <w:r w:rsidR="00787D2C">
        <w:rPr>
          <w:rFonts w:ascii="Arial" w:hAnsi="Arial" w:cs="Arial"/>
        </w:rPr>
        <w:t>we</w:t>
      </w:r>
      <w:r w:rsidRPr="00623A04">
        <w:rPr>
          <w:rFonts w:ascii="Arial" w:hAnsi="Arial" w:cs="Arial"/>
        </w:rPr>
        <w:t xml:space="preserve"> adopted its new Corporate Plan 2023-2027: </w:t>
      </w:r>
      <w:r w:rsidRPr="00623A04">
        <w:rPr>
          <w:rFonts w:ascii="Arial" w:hAnsi="Arial" w:cs="Arial"/>
          <w:i/>
          <w:iCs/>
        </w:rPr>
        <w:t>A Place for Everyone – Supporting our Communities to Thrive.</w:t>
      </w:r>
      <w:r w:rsidRPr="00623A04">
        <w:rPr>
          <w:rFonts w:ascii="Arial" w:hAnsi="Arial" w:cs="Arial"/>
        </w:rPr>
        <w:t xml:space="preserve"> Inclusion is one of the key priorities underpinning the new corporate plan, reinforcing </w:t>
      </w:r>
      <w:r w:rsidR="00787D2C">
        <w:rPr>
          <w:rFonts w:ascii="Arial" w:hAnsi="Arial" w:cs="Arial"/>
        </w:rPr>
        <w:t>our</w:t>
      </w:r>
      <w:r w:rsidRPr="00623A04">
        <w:rPr>
          <w:rFonts w:ascii="Arial" w:hAnsi="Arial" w:cs="Arial"/>
        </w:rPr>
        <w:t xml:space="preserve"> commitment to strengthening and supporting equality and diversity. Our communities told us how important inclusiveness was to them, and we have developed our Plan accordingly - to respond to their most pressing concerns whilst ensuring that we meet the needs of individuals and groups in our communities. </w:t>
      </w:r>
    </w:p>
    <w:p w14:paraId="11D11722" w14:textId="56589354" w:rsidR="00575BE5" w:rsidRPr="00787D2C" w:rsidRDefault="00575BE5" w:rsidP="00787D2C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7D7B7DFE" w14:textId="3413696B" w:rsidR="00623A04" w:rsidRPr="00623A04" w:rsidRDefault="00623A04" w:rsidP="00623A04">
      <w:pPr>
        <w:spacing w:after="120" w:line="360" w:lineRule="auto"/>
        <w:rPr>
          <w:rFonts w:ascii="Arial" w:hAnsi="Arial" w:cs="Arial"/>
        </w:rPr>
      </w:pPr>
      <w:r w:rsidRPr="00623A04">
        <w:rPr>
          <w:rFonts w:ascii="Arial" w:hAnsi="Arial" w:cs="Arial"/>
        </w:rPr>
        <w:t xml:space="preserve">As a public body we </w:t>
      </w:r>
      <w:r>
        <w:rPr>
          <w:rFonts w:ascii="Arial" w:hAnsi="Arial" w:cs="Arial"/>
        </w:rPr>
        <w:t>work to</w:t>
      </w:r>
      <w:r w:rsidRPr="00623A04">
        <w:rPr>
          <w:rFonts w:ascii="Arial" w:hAnsi="Arial" w:cs="Arial"/>
        </w:rPr>
        <w:t>:</w:t>
      </w:r>
    </w:p>
    <w:p w14:paraId="059D6686" w14:textId="65692DD5" w:rsidR="00623A04" w:rsidRPr="00623A04" w:rsidRDefault="00623A04" w:rsidP="00623A04">
      <w:pPr>
        <w:widowControl w:val="0"/>
        <w:numPr>
          <w:ilvl w:val="0"/>
          <w:numId w:val="4"/>
        </w:numPr>
        <w:spacing w:line="360" w:lineRule="auto"/>
        <w:ind w:left="357" w:hanging="357"/>
        <w:rPr>
          <w:rFonts w:ascii="Arial" w:hAnsi="Arial" w:cs="Arial"/>
        </w:rPr>
      </w:pPr>
      <w:r w:rsidRPr="00623A04">
        <w:rPr>
          <w:rFonts w:ascii="Arial" w:hAnsi="Arial" w:cs="Arial"/>
        </w:rPr>
        <w:t xml:space="preserve">Ensure equality of opportunity </w:t>
      </w:r>
    </w:p>
    <w:p w14:paraId="0272CFDE" w14:textId="3B10CACD" w:rsidR="00623A04" w:rsidRPr="00623A04" w:rsidRDefault="00623A04" w:rsidP="00623A04">
      <w:pPr>
        <w:widowControl w:val="0"/>
        <w:numPr>
          <w:ilvl w:val="0"/>
          <w:numId w:val="4"/>
        </w:numPr>
        <w:spacing w:line="360" w:lineRule="auto"/>
        <w:ind w:left="357" w:hanging="357"/>
        <w:rPr>
          <w:rFonts w:ascii="Arial" w:hAnsi="Arial" w:cs="Arial"/>
        </w:rPr>
      </w:pPr>
      <w:r w:rsidRPr="00623A04">
        <w:rPr>
          <w:rFonts w:ascii="Arial" w:hAnsi="Arial" w:cs="Arial"/>
        </w:rPr>
        <w:t xml:space="preserve">Ensure fair treatment </w:t>
      </w:r>
    </w:p>
    <w:p w14:paraId="099D1912" w14:textId="4910DE66" w:rsidR="00623A04" w:rsidRPr="00623A04" w:rsidRDefault="00623A04" w:rsidP="00623A04">
      <w:pPr>
        <w:widowControl w:val="0"/>
        <w:numPr>
          <w:ilvl w:val="0"/>
          <w:numId w:val="4"/>
        </w:numPr>
        <w:spacing w:line="360" w:lineRule="auto"/>
        <w:ind w:left="357" w:hanging="357"/>
        <w:rPr>
          <w:rFonts w:ascii="Arial" w:hAnsi="Arial" w:cs="Arial"/>
        </w:rPr>
      </w:pPr>
      <w:r w:rsidRPr="00623A04">
        <w:rPr>
          <w:rFonts w:ascii="Arial" w:hAnsi="Arial" w:cs="Arial"/>
        </w:rPr>
        <w:t>Ensure equal access to services, to information and to employment.</w:t>
      </w:r>
    </w:p>
    <w:p w14:paraId="6AD77B77" w14:textId="5CFCF64C" w:rsidR="00623A04" w:rsidRPr="00623A04" w:rsidRDefault="00623A04" w:rsidP="00623A04">
      <w:pPr>
        <w:widowControl w:val="0"/>
        <w:numPr>
          <w:ilvl w:val="0"/>
          <w:numId w:val="4"/>
        </w:numPr>
        <w:spacing w:line="360" w:lineRule="auto"/>
        <w:ind w:left="357" w:hanging="357"/>
        <w:rPr>
          <w:rFonts w:ascii="Arial" w:hAnsi="Arial" w:cs="Arial"/>
        </w:rPr>
      </w:pPr>
      <w:r w:rsidRPr="00623A04">
        <w:rPr>
          <w:rFonts w:ascii="Arial" w:hAnsi="Arial" w:cs="Arial"/>
        </w:rPr>
        <w:t>Eliminate unlawful discrimination on grounds of gender, disability, race, ethnic or national origin, age, religion or belief, or sexual orientation for our employees and for service users.</w:t>
      </w:r>
    </w:p>
    <w:p w14:paraId="67A87057" w14:textId="25AF7B47" w:rsidR="00623A04" w:rsidRPr="00623A04" w:rsidRDefault="00623A04" w:rsidP="00623A04">
      <w:pPr>
        <w:widowControl w:val="0"/>
        <w:numPr>
          <w:ilvl w:val="0"/>
          <w:numId w:val="4"/>
        </w:numPr>
        <w:spacing w:line="360" w:lineRule="auto"/>
        <w:ind w:left="357" w:hanging="357"/>
        <w:rPr>
          <w:rFonts w:ascii="Arial" w:hAnsi="Arial" w:cs="Arial"/>
        </w:rPr>
      </w:pPr>
      <w:r w:rsidRPr="00623A04">
        <w:rPr>
          <w:rFonts w:ascii="Arial" w:hAnsi="Arial" w:cs="Arial"/>
        </w:rPr>
        <w:t>Promote good relations between different groups and individuals within our community.</w:t>
      </w:r>
    </w:p>
    <w:p w14:paraId="264BE086" w14:textId="4402909B" w:rsidR="00623A04" w:rsidRDefault="00623A04" w:rsidP="00623A04">
      <w:pPr>
        <w:widowControl w:val="0"/>
        <w:numPr>
          <w:ilvl w:val="0"/>
          <w:numId w:val="4"/>
        </w:numPr>
        <w:spacing w:after="120" w:line="360" w:lineRule="auto"/>
        <w:ind w:left="357" w:hanging="357"/>
        <w:rPr>
          <w:rFonts w:ascii="Arial" w:hAnsi="Arial" w:cs="Arial"/>
        </w:rPr>
      </w:pPr>
      <w:r w:rsidRPr="00623A04">
        <w:rPr>
          <w:rFonts w:ascii="Arial" w:hAnsi="Arial" w:cs="Arial"/>
        </w:rPr>
        <w:t>Ensure quality services for everyone in the community.</w:t>
      </w:r>
    </w:p>
    <w:p w14:paraId="10150974" w14:textId="4E4EAE7A" w:rsidR="00623A04" w:rsidRPr="00623A04" w:rsidRDefault="00623A04" w:rsidP="00623A04">
      <w:pPr>
        <w:widowControl w:val="0"/>
        <w:spacing w:after="120" w:line="360" w:lineRule="auto"/>
        <w:ind w:left="357"/>
        <w:rPr>
          <w:rFonts w:ascii="Arial" w:hAnsi="Arial" w:cs="Arial"/>
        </w:rPr>
      </w:pPr>
    </w:p>
    <w:p w14:paraId="49EB0B28" w14:textId="3FB64D7B" w:rsidR="00623A04" w:rsidRPr="00623A04" w:rsidRDefault="00623A04" w:rsidP="00623A04">
      <w:pPr>
        <w:spacing w:after="120" w:line="360" w:lineRule="auto"/>
        <w:rPr>
          <w:rFonts w:ascii="Arial" w:hAnsi="Arial" w:cs="Arial"/>
        </w:rPr>
      </w:pPr>
      <w:r w:rsidRPr="00623A04">
        <w:rPr>
          <w:rFonts w:ascii="Arial" w:hAnsi="Arial" w:cs="Arial"/>
        </w:rPr>
        <w:t>We are committed to ensuring equality of opportunity for all</w:t>
      </w:r>
      <w:r w:rsidR="00787D2C">
        <w:rPr>
          <w:rFonts w:ascii="Arial" w:hAnsi="Arial" w:cs="Arial"/>
        </w:rPr>
        <w:t>,</w:t>
      </w:r>
      <w:r w:rsidRPr="00623A04">
        <w:rPr>
          <w:rFonts w:ascii="Arial" w:hAnsi="Arial" w:cs="Arial"/>
        </w:rPr>
        <w:t xml:space="preserve"> fair treatment and equal access to our services, </w:t>
      </w:r>
      <w:r w:rsidR="00787D2C">
        <w:rPr>
          <w:rFonts w:ascii="Arial" w:hAnsi="Arial" w:cs="Arial"/>
        </w:rPr>
        <w:t>for all of our residents</w:t>
      </w:r>
      <w:r w:rsidRPr="00623A04">
        <w:rPr>
          <w:rFonts w:ascii="Arial" w:hAnsi="Arial" w:cs="Arial"/>
        </w:rPr>
        <w:t xml:space="preserve">. </w:t>
      </w:r>
    </w:p>
    <w:p w14:paraId="37C6A4C3" w14:textId="77777777" w:rsidR="0064743E" w:rsidRDefault="0064743E" w:rsidP="1F6C3FD5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034653FF" w14:textId="77777777" w:rsidR="0064743E" w:rsidRDefault="0064743E" w:rsidP="1F6C3FD5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72D93917" w14:textId="77777777" w:rsidR="0064743E" w:rsidRDefault="0064743E" w:rsidP="1F6C3FD5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72209C7C" w14:textId="77777777" w:rsidR="0064743E" w:rsidRDefault="0064743E" w:rsidP="1F6C3FD5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38D8A18C" w14:textId="77777777" w:rsidR="0064743E" w:rsidRDefault="0064743E" w:rsidP="1F6C3FD5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29844CBB" w14:textId="77777777" w:rsidR="0064743E" w:rsidRDefault="0064743E" w:rsidP="1F6C3FD5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305269D0" w14:textId="69BA4209" w:rsidR="00885CD9" w:rsidRPr="00F76067" w:rsidRDefault="1F6C3FD5" w:rsidP="1F6C3FD5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F76067">
        <w:rPr>
          <w:rFonts w:ascii="Arial" w:hAnsi="Arial" w:cs="Arial"/>
          <w:b/>
          <w:bCs/>
          <w:sz w:val="28"/>
          <w:szCs w:val="28"/>
        </w:rPr>
        <w:lastRenderedPageBreak/>
        <w:t>Our duties under the Equality Act 2010</w:t>
      </w:r>
    </w:p>
    <w:p w14:paraId="64B2230E" w14:textId="36D182F6" w:rsidR="00885CD9" w:rsidRPr="00F76067" w:rsidRDefault="1F6C3FD5" w:rsidP="1F6C3FD5">
      <w:pPr>
        <w:spacing w:line="360" w:lineRule="auto"/>
        <w:rPr>
          <w:rFonts w:ascii="Arial" w:hAnsi="Arial" w:cs="Arial"/>
        </w:rPr>
      </w:pPr>
      <w:r w:rsidRPr="00F76067">
        <w:rPr>
          <w:rFonts w:ascii="Arial" w:hAnsi="Arial" w:cs="Arial"/>
        </w:rPr>
        <w:t>We are required to publish information that demonstrates our compliance with the Equality Duty as defined by the Equality Act 2010.</w:t>
      </w:r>
      <w:r w:rsidR="00F76067" w:rsidRPr="00F76067">
        <w:rPr>
          <w:rStyle w:val="CommentReference"/>
          <w:rFonts w:ascii="Arial" w:hAnsi="Arial" w:cs="Arial"/>
        </w:rPr>
        <w:t xml:space="preserve"> </w:t>
      </w:r>
      <w:r w:rsidR="00F76067">
        <w:rPr>
          <w:rStyle w:val="FootnoteReference"/>
          <w:rFonts w:ascii="Arial" w:hAnsi="Arial" w:cs="Arial"/>
        </w:rPr>
        <w:footnoteReference w:id="1"/>
      </w:r>
      <w:r w:rsidRPr="00F76067">
        <w:rPr>
          <w:rFonts w:ascii="Arial" w:hAnsi="Arial" w:cs="Arial"/>
        </w:rPr>
        <w:t xml:space="preserve"> This means that we have to show that we have had, in the exercise of our functions, </w:t>
      </w:r>
      <w:r w:rsidRPr="00F76067">
        <w:rPr>
          <w:rFonts w:ascii="Arial" w:hAnsi="Arial" w:cs="Arial"/>
          <w:b/>
          <w:bCs/>
        </w:rPr>
        <w:t>due regard</w:t>
      </w:r>
      <w:r w:rsidRPr="00F76067">
        <w:rPr>
          <w:rFonts w:ascii="Arial" w:hAnsi="Arial" w:cs="Arial"/>
        </w:rPr>
        <w:t xml:space="preserve"> to the need to:</w:t>
      </w:r>
    </w:p>
    <w:p w14:paraId="20F7CFC4" w14:textId="74DBE47F" w:rsidR="00885CD9" w:rsidRPr="00F76067" w:rsidRDefault="1F6C3FD5" w:rsidP="1F6C3FD5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</w:rPr>
      </w:pPr>
      <w:r w:rsidRPr="00F76067">
        <w:rPr>
          <w:rFonts w:ascii="Arial" w:hAnsi="Arial" w:cs="Arial"/>
          <w:b/>
          <w:bCs/>
        </w:rPr>
        <w:t>eliminate discrimination, harassment and victimisation and any other conduct that is prohibited under the Act</w:t>
      </w:r>
    </w:p>
    <w:p w14:paraId="5DEA5975" w14:textId="32D9C590" w:rsidR="00885CD9" w:rsidRPr="00F76067" w:rsidRDefault="1F6C3FD5" w:rsidP="1F6C3FD5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</w:rPr>
      </w:pPr>
      <w:r w:rsidRPr="00F76067">
        <w:rPr>
          <w:rFonts w:ascii="Arial" w:hAnsi="Arial" w:cs="Arial"/>
          <w:b/>
          <w:bCs/>
        </w:rPr>
        <w:t>advance equality of opportunity between people who share a relevant protected characteristic and people who do not share it</w:t>
      </w:r>
    </w:p>
    <w:p w14:paraId="0276D3BF" w14:textId="74FE9961" w:rsidR="00885CD9" w:rsidRPr="00F76067" w:rsidRDefault="1F6C3FD5" w:rsidP="1F6C3FD5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</w:rPr>
      </w:pPr>
      <w:r w:rsidRPr="00F76067">
        <w:rPr>
          <w:rFonts w:ascii="Arial" w:hAnsi="Arial" w:cs="Arial"/>
          <w:b/>
          <w:bCs/>
        </w:rPr>
        <w:t>foster good relations between people who share a relevant protected characteristic and those who do not share it.</w:t>
      </w:r>
    </w:p>
    <w:p w14:paraId="4E84C2C1" w14:textId="77777777" w:rsidR="00F76067" w:rsidRDefault="00F76067" w:rsidP="1F6C3FD5">
      <w:pPr>
        <w:spacing w:line="360" w:lineRule="auto"/>
        <w:rPr>
          <w:rFonts w:ascii="Arial" w:hAnsi="Arial" w:cs="Arial"/>
        </w:rPr>
      </w:pPr>
    </w:p>
    <w:p w14:paraId="2F4D3D88" w14:textId="1FAF5A21" w:rsidR="00885CD9" w:rsidRPr="00F76067" w:rsidRDefault="1F6C3FD5" w:rsidP="1F6C3FD5">
      <w:pPr>
        <w:spacing w:line="360" w:lineRule="auto"/>
        <w:rPr>
          <w:rFonts w:ascii="Arial" w:hAnsi="Arial" w:cs="Arial"/>
        </w:rPr>
      </w:pPr>
      <w:r w:rsidRPr="00F76067">
        <w:rPr>
          <w:rFonts w:ascii="Arial" w:hAnsi="Arial" w:cs="Arial"/>
        </w:rPr>
        <w:t xml:space="preserve">Having </w:t>
      </w:r>
      <w:r w:rsidRPr="00F76067">
        <w:rPr>
          <w:rFonts w:ascii="Arial" w:hAnsi="Arial" w:cs="Arial"/>
          <w:b/>
          <w:bCs/>
        </w:rPr>
        <w:t xml:space="preserve">due regard </w:t>
      </w:r>
      <w:r w:rsidRPr="00F76067">
        <w:rPr>
          <w:rFonts w:ascii="Arial" w:hAnsi="Arial" w:cs="Arial"/>
        </w:rPr>
        <w:t xml:space="preserve">for advancing equality </w:t>
      </w:r>
      <w:r w:rsidR="00F76067">
        <w:rPr>
          <w:rFonts w:ascii="Arial" w:hAnsi="Arial" w:cs="Arial"/>
        </w:rPr>
        <w:t>means</w:t>
      </w:r>
      <w:r w:rsidRPr="00F76067">
        <w:rPr>
          <w:rFonts w:ascii="Arial" w:hAnsi="Arial" w:cs="Arial"/>
        </w:rPr>
        <w:t>:</w:t>
      </w:r>
    </w:p>
    <w:p w14:paraId="413E642C" w14:textId="2A52D1E8" w:rsidR="00885CD9" w:rsidRPr="00F76067" w:rsidRDefault="1F6C3FD5" w:rsidP="1F6C3FD5">
      <w:pPr>
        <w:numPr>
          <w:ilvl w:val="0"/>
          <w:numId w:val="2"/>
        </w:numPr>
        <w:tabs>
          <w:tab w:val="clear" w:pos="1440"/>
          <w:tab w:val="num" w:pos="720"/>
        </w:tabs>
        <w:spacing w:line="360" w:lineRule="auto"/>
        <w:ind w:left="720"/>
        <w:rPr>
          <w:rFonts w:ascii="Arial" w:hAnsi="Arial" w:cs="Arial"/>
        </w:rPr>
      </w:pPr>
      <w:r w:rsidRPr="00F76067">
        <w:rPr>
          <w:rFonts w:ascii="Arial" w:hAnsi="Arial" w:cs="Arial"/>
        </w:rPr>
        <w:t>removing or minimising disadvan</w:t>
      </w:r>
      <w:r w:rsidR="00F76067">
        <w:rPr>
          <w:rFonts w:ascii="Arial" w:hAnsi="Arial" w:cs="Arial"/>
        </w:rPr>
        <w:t>t</w:t>
      </w:r>
      <w:r w:rsidRPr="00F76067">
        <w:rPr>
          <w:rFonts w:ascii="Arial" w:hAnsi="Arial" w:cs="Arial"/>
        </w:rPr>
        <w:t>ages suffered by people due to their protected characteristics</w:t>
      </w:r>
    </w:p>
    <w:p w14:paraId="1195B6B1" w14:textId="16053F4F" w:rsidR="00885CD9" w:rsidRPr="00F76067" w:rsidRDefault="1F6C3FD5" w:rsidP="1F6C3FD5">
      <w:pPr>
        <w:numPr>
          <w:ilvl w:val="0"/>
          <w:numId w:val="2"/>
        </w:numPr>
        <w:tabs>
          <w:tab w:val="clear" w:pos="1440"/>
          <w:tab w:val="num" w:pos="720"/>
        </w:tabs>
        <w:spacing w:line="360" w:lineRule="auto"/>
        <w:ind w:left="720"/>
        <w:rPr>
          <w:rFonts w:ascii="Arial" w:hAnsi="Arial" w:cs="Arial"/>
        </w:rPr>
      </w:pPr>
      <w:r w:rsidRPr="00F76067">
        <w:rPr>
          <w:rFonts w:ascii="Arial" w:hAnsi="Arial" w:cs="Arial"/>
        </w:rPr>
        <w:t>taking steps to meet the needs of people from protected groups where these are different from the needs of other people</w:t>
      </w:r>
    </w:p>
    <w:p w14:paraId="378E5B73" w14:textId="77777777" w:rsidR="00885CD9" w:rsidRDefault="1F6C3FD5" w:rsidP="1F6C3FD5">
      <w:pPr>
        <w:numPr>
          <w:ilvl w:val="0"/>
          <w:numId w:val="2"/>
        </w:numPr>
        <w:tabs>
          <w:tab w:val="clear" w:pos="1440"/>
          <w:tab w:val="num" w:pos="720"/>
        </w:tabs>
        <w:spacing w:line="360" w:lineRule="auto"/>
        <w:ind w:left="720"/>
        <w:rPr>
          <w:rFonts w:ascii="Arial" w:hAnsi="Arial" w:cs="Arial"/>
        </w:rPr>
      </w:pPr>
      <w:r w:rsidRPr="00F76067">
        <w:rPr>
          <w:rFonts w:ascii="Arial" w:hAnsi="Arial" w:cs="Arial"/>
        </w:rPr>
        <w:t>encouraging people from protected groups to participate in public life or in other activities where their participation is disproportionately low.</w:t>
      </w:r>
    </w:p>
    <w:p w14:paraId="104406EF" w14:textId="77777777" w:rsidR="00F76067" w:rsidRPr="00F76067" w:rsidRDefault="00F76067" w:rsidP="00F76067">
      <w:pPr>
        <w:spacing w:line="360" w:lineRule="auto"/>
        <w:ind w:left="720"/>
        <w:rPr>
          <w:rFonts w:ascii="Arial" w:hAnsi="Arial" w:cs="Arial"/>
        </w:rPr>
      </w:pPr>
    </w:p>
    <w:p w14:paraId="6B5718A0" w14:textId="55EEFA15" w:rsidR="00885CD9" w:rsidRPr="00F76067" w:rsidRDefault="1F6C3FD5" w:rsidP="1F6C3FD5">
      <w:pPr>
        <w:spacing w:line="360" w:lineRule="auto"/>
        <w:rPr>
          <w:rFonts w:ascii="Arial" w:hAnsi="Arial" w:cs="Arial"/>
        </w:rPr>
      </w:pPr>
      <w:r w:rsidRPr="00F76067">
        <w:rPr>
          <w:rFonts w:ascii="Arial" w:hAnsi="Arial" w:cs="Arial"/>
        </w:rPr>
        <w:t xml:space="preserve">We </w:t>
      </w:r>
      <w:r w:rsidR="00E9128A" w:rsidRPr="00F76067">
        <w:rPr>
          <w:rFonts w:ascii="Arial" w:hAnsi="Arial" w:cs="Arial"/>
        </w:rPr>
        <w:t>must</w:t>
      </w:r>
      <w:r w:rsidRPr="00F76067">
        <w:rPr>
          <w:rFonts w:ascii="Arial" w:hAnsi="Arial" w:cs="Arial"/>
        </w:rPr>
        <w:t xml:space="preserve"> demonstrate that we considered how the decisions we make and the services we deliver affect people who share different protected characteristics:</w:t>
      </w:r>
    </w:p>
    <w:p w14:paraId="0758A7C4" w14:textId="41C30242" w:rsidR="00885CD9" w:rsidRPr="00F76067" w:rsidRDefault="1F6C3FD5" w:rsidP="1F6C3FD5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/>
        <w:rPr>
          <w:rFonts w:ascii="Arial" w:hAnsi="Arial" w:cs="Arial"/>
        </w:rPr>
      </w:pPr>
      <w:bookmarkStart w:id="1" w:name="_Hlk193710248"/>
      <w:r w:rsidRPr="00F76067">
        <w:rPr>
          <w:rFonts w:ascii="Arial" w:hAnsi="Arial" w:cs="Arial"/>
        </w:rPr>
        <w:t>age</w:t>
      </w:r>
    </w:p>
    <w:p w14:paraId="6F28C46B" w14:textId="44E5DFAE" w:rsidR="00885CD9" w:rsidRPr="00F76067" w:rsidRDefault="1F6C3FD5" w:rsidP="1F6C3FD5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/>
        <w:rPr>
          <w:rFonts w:ascii="Arial" w:hAnsi="Arial" w:cs="Arial"/>
        </w:rPr>
      </w:pPr>
      <w:r w:rsidRPr="00F76067">
        <w:rPr>
          <w:rFonts w:ascii="Arial" w:hAnsi="Arial" w:cs="Arial"/>
        </w:rPr>
        <w:t>disability</w:t>
      </w:r>
    </w:p>
    <w:p w14:paraId="0A04423F" w14:textId="175F7A5C" w:rsidR="00885CD9" w:rsidRPr="00F76067" w:rsidRDefault="1F6C3FD5" w:rsidP="1F6C3FD5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/>
        <w:rPr>
          <w:rFonts w:ascii="Arial" w:hAnsi="Arial" w:cs="Arial"/>
        </w:rPr>
      </w:pPr>
      <w:r w:rsidRPr="00F76067">
        <w:rPr>
          <w:rFonts w:ascii="Arial" w:hAnsi="Arial" w:cs="Arial"/>
        </w:rPr>
        <w:t>gender reassignment</w:t>
      </w:r>
    </w:p>
    <w:p w14:paraId="606E2AA6" w14:textId="713A74F7" w:rsidR="00885CD9" w:rsidRPr="00F76067" w:rsidRDefault="1F6C3FD5" w:rsidP="1F6C3FD5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/>
        <w:rPr>
          <w:rFonts w:ascii="Arial" w:hAnsi="Arial" w:cs="Arial"/>
        </w:rPr>
      </w:pPr>
      <w:r w:rsidRPr="00F76067">
        <w:rPr>
          <w:rFonts w:ascii="Arial" w:hAnsi="Arial" w:cs="Arial"/>
        </w:rPr>
        <w:t>sex (gender)</w:t>
      </w:r>
    </w:p>
    <w:p w14:paraId="7D67123E" w14:textId="6AA62382" w:rsidR="00885CD9" w:rsidRPr="00F76067" w:rsidRDefault="1F6C3FD5" w:rsidP="1F6C3FD5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/>
        <w:rPr>
          <w:rFonts w:ascii="Arial" w:hAnsi="Arial" w:cs="Arial"/>
        </w:rPr>
      </w:pPr>
      <w:r w:rsidRPr="00F76067">
        <w:rPr>
          <w:rFonts w:ascii="Arial" w:hAnsi="Arial" w:cs="Arial"/>
        </w:rPr>
        <w:t>sexual orientation</w:t>
      </w:r>
    </w:p>
    <w:p w14:paraId="7633E2F6" w14:textId="02AD3521" w:rsidR="00885CD9" w:rsidRPr="00F76067" w:rsidRDefault="1F6C3FD5" w:rsidP="1F6C3FD5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/>
        <w:rPr>
          <w:rFonts w:ascii="Arial" w:hAnsi="Arial" w:cs="Arial"/>
        </w:rPr>
      </w:pPr>
      <w:r w:rsidRPr="00F76067">
        <w:rPr>
          <w:rFonts w:ascii="Arial" w:hAnsi="Arial" w:cs="Arial"/>
        </w:rPr>
        <w:t>religion or belief (includes lack of belief)</w:t>
      </w:r>
    </w:p>
    <w:p w14:paraId="3F96DCBF" w14:textId="49DBF2FA" w:rsidR="00885CD9" w:rsidRPr="00F76067" w:rsidRDefault="1F6C3FD5" w:rsidP="1F6C3FD5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/>
        <w:rPr>
          <w:rFonts w:ascii="Arial" w:hAnsi="Arial" w:cs="Arial"/>
        </w:rPr>
      </w:pPr>
      <w:r w:rsidRPr="00F76067">
        <w:rPr>
          <w:rFonts w:ascii="Arial" w:hAnsi="Arial" w:cs="Arial"/>
        </w:rPr>
        <w:t>race</w:t>
      </w:r>
    </w:p>
    <w:p w14:paraId="49886DFE" w14:textId="77777777" w:rsidR="0064743E" w:rsidRDefault="1F6C3FD5" w:rsidP="0064743E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/>
        <w:rPr>
          <w:rFonts w:ascii="Arial" w:hAnsi="Arial" w:cs="Arial"/>
        </w:rPr>
      </w:pPr>
      <w:r w:rsidRPr="00F76067">
        <w:rPr>
          <w:rFonts w:ascii="Arial" w:hAnsi="Arial" w:cs="Arial"/>
        </w:rPr>
        <w:t>marriage and civil partnership.</w:t>
      </w:r>
      <w:bookmarkEnd w:id="1"/>
    </w:p>
    <w:p w14:paraId="109A20E0" w14:textId="590FADB9" w:rsidR="00F76067" w:rsidRPr="0064743E" w:rsidRDefault="00F76067" w:rsidP="0064743E">
      <w:pPr>
        <w:spacing w:line="360" w:lineRule="auto"/>
        <w:rPr>
          <w:rFonts w:ascii="Arial" w:hAnsi="Arial" w:cs="Arial"/>
        </w:rPr>
      </w:pPr>
      <w:r w:rsidRPr="0064743E">
        <w:rPr>
          <w:rFonts w:ascii="Arial" w:hAnsi="Arial" w:cs="Arial"/>
          <w:b/>
          <w:bCs/>
          <w:sz w:val="32"/>
          <w:szCs w:val="32"/>
        </w:rPr>
        <w:lastRenderedPageBreak/>
        <w:t>Definitions</w:t>
      </w:r>
    </w:p>
    <w:p w14:paraId="301A2E2D" w14:textId="77777777" w:rsidR="001B55A6" w:rsidRDefault="001B55A6" w:rsidP="00F76067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0694D577" w14:textId="2BDE73F2" w:rsidR="00F76067" w:rsidRDefault="00F76067" w:rsidP="00F76067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Sex</w:t>
      </w:r>
    </w:p>
    <w:p w14:paraId="4D39E8A5" w14:textId="0C5B8D4D" w:rsidR="001B55A6" w:rsidRPr="00894FB4" w:rsidRDefault="001B55A6" w:rsidP="001B55A6">
      <w:pPr>
        <w:spacing w:line="360" w:lineRule="auto"/>
        <w:jc w:val="both"/>
        <w:rPr>
          <w:rFonts w:ascii="Arial" w:hAnsi="Arial" w:cs="Arial"/>
          <w:szCs w:val="24"/>
        </w:rPr>
      </w:pPr>
      <w:r w:rsidRPr="00894FB4">
        <w:rPr>
          <w:rFonts w:ascii="Arial" w:hAnsi="Arial" w:cs="Arial"/>
          <w:szCs w:val="24"/>
        </w:rPr>
        <w:t xml:space="preserve">The UK government defines sex as the biological aspects of an individual as determined by their anatomy, which is produced by </w:t>
      </w:r>
    </w:p>
    <w:p w14:paraId="0B5E3E0C" w14:textId="1574677D" w:rsidR="001B55A6" w:rsidRPr="00894FB4" w:rsidRDefault="001B55A6" w:rsidP="001B55A6">
      <w:pPr>
        <w:spacing w:line="360" w:lineRule="auto"/>
        <w:jc w:val="both"/>
        <w:rPr>
          <w:rFonts w:ascii="Arial" w:hAnsi="Arial" w:cs="Arial"/>
          <w:szCs w:val="24"/>
        </w:rPr>
      </w:pPr>
      <w:r w:rsidRPr="00894FB4">
        <w:rPr>
          <w:rFonts w:ascii="Arial" w:hAnsi="Arial" w:cs="Arial"/>
          <w:szCs w:val="24"/>
        </w:rPr>
        <w:t>their chromosomes, hormones and their interactions. It is something that is assigned at birth and is generally male or female</w:t>
      </w:r>
    </w:p>
    <w:p w14:paraId="30CD748A" w14:textId="77777777" w:rsidR="001B55A6" w:rsidRPr="001B55A6" w:rsidRDefault="001B55A6" w:rsidP="001B55A6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14:paraId="3E12A67A" w14:textId="4E0ED66E" w:rsidR="00F76067" w:rsidRDefault="00F76067" w:rsidP="00F76067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Gender</w:t>
      </w:r>
    </w:p>
    <w:p w14:paraId="41E7A4EE" w14:textId="2A796D44" w:rsidR="001B55A6" w:rsidRPr="00894FB4" w:rsidRDefault="001B55A6" w:rsidP="00F76067">
      <w:pPr>
        <w:spacing w:line="360" w:lineRule="auto"/>
        <w:jc w:val="both"/>
        <w:rPr>
          <w:rFonts w:ascii="Arial" w:hAnsi="Arial" w:cs="Arial"/>
          <w:szCs w:val="24"/>
        </w:rPr>
      </w:pPr>
      <w:r w:rsidRPr="00894FB4">
        <w:rPr>
          <w:rFonts w:ascii="Arial" w:hAnsi="Arial" w:cs="Arial"/>
          <w:szCs w:val="24"/>
        </w:rPr>
        <w:t>The UK government defines gender as a social construction relating to behaviours and attributes based on labels of masculinity and femininity; gender identity is a personal, internal perception of oneself and so the gender category someone identifies with may not match the sex they were assigned at birth. An individual may see themselves as a man, a woman, as having no gender, or as having a non-binary gender – where people identify as somewhere on a spectrum between man and woman.</w:t>
      </w:r>
    </w:p>
    <w:p w14:paraId="2C98A207" w14:textId="77777777" w:rsidR="001B55A6" w:rsidRPr="001B55A6" w:rsidRDefault="001B55A6" w:rsidP="00F76067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14:paraId="3A76AA38" w14:textId="53E4608E" w:rsidR="00F76067" w:rsidRDefault="00F76067" w:rsidP="00F76067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Disability</w:t>
      </w:r>
    </w:p>
    <w:p w14:paraId="0E75BB88" w14:textId="6D7DC029" w:rsidR="001B55A6" w:rsidRPr="00894FB4" w:rsidRDefault="001B55A6" w:rsidP="00F76067">
      <w:pPr>
        <w:spacing w:line="360" w:lineRule="auto"/>
        <w:jc w:val="both"/>
        <w:rPr>
          <w:rFonts w:ascii="Arial" w:hAnsi="Arial" w:cs="Arial"/>
          <w:szCs w:val="24"/>
        </w:rPr>
      </w:pPr>
      <w:r w:rsidRPr="00894FB4">
        <w:rPr>
          <w:rFonts w:ascii="Arial" w:hAnsi="Arial" w:cs="Arial"/>
          <w:szCs w:val="24"/>
        </w:rPr>
        <w:t>A disabled person is defined under the equality Act 2010 as someone with a "physical or mental impairment which has a substantial and long-term adverse effect</w:t>
      </w:r>
      <w:r w:rsidRPr="00894FB4">
        <w:rPr>
          <w:rFonts w:ascii="Arial" w:hAnsi="Arial" w:cs="Arial"/>
          <w:b/>
          <w:bCs/>
          <w:szCs w:val="24"/>
        </w:rPr>
        <w:t xml:space="preserve"> </w:t>
      </w:r>
      <w:r w:rsidRPr="00894FB4">
        <w:rPr>
          <w:rFonts w:ascii="Arial" w:hAnsi="Arial" w:cs="Arial"/>
          <w:szCs w:val="24"/>
        </w:rPr>
        <w:t>on that person's ability to carry out normal day-to-day activities."</w:t>
      </w:r>
    </w:p>
    <w:p w14:paraId="2B28AE0B" w14:textId="77777777" w:rsidR="003F4B51" w:rsidRDefault="003F4B51" w:rsidP="00F76067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4CB6C8F9" w14:textId="342283D7" w:rsidR="00894FB4" w:rsidRDefault="00894FB4" w:rsidP="00F76067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About the Data</w:t>
      </w:r>
    </w:p>
    <w:p w14:paraId="56AF5D23" w14:textId="2D91C5DD" w:rsidR="00894FB4" w:rsidRPr="00894FB4" w:rsidRDefault="00894FB4" w:rsidP="00F76067">
      <w:pPr>
        <w:spacing w:line="360" w:lineRule="auto"/>
        <w:jc w:val="both"/>
        <w:rPr>
          <w:rFonts w:ascii="Arial" w:hAnsi="Arial" w:cs="Arial"/>
          <w:szCs w:val="24"/>
        </w:rPr>
      </w:pPr>
      <w:r w:rsidRPr="00894FB4">
        <w:rPr>
          <w:rFonts w:ascii="Arial" w:hAnsi="Arial" w:cs="Arial"/>
          <w:szCs w:val="24"/>
        </w:rPr>
        <w:t xml:space="preserve">The data in this report, unless </w:t>
      </w:r>
      <w:r w:rsidR="002665F8">
        <w:rPr>
          <w:rFonts w:ascii="Arial" w:hAnsi="Arial" w:cs="Arial"/>
          <w:szCs w:val="24"/>
        </w:rPr>
        <w:t>stated otherwise,</w:t>
      </w:r>
      <w:r w:rsidRPr="00894FB4">
        <w:rPr>
          <w:rFonts w:ascii="Arial" w:hAnsi="Arial" w:cs="Arial"/>
          <w:szCs w:val="24"/>
        </w:rPr>
        <w:t xml:space="preserve"> comes from the 2021 Census.</w:t>
      </w:r>
    </w:p>
    <w:p w14:paraId="3FAF7A72" w14:textId="77777777" w:rsidR="00894FB4" w:rsidRDefault="00894FB4" w:rsidP="00F76067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18B5D817" w14:textId="77777777" w:rsidR="002665F8" w:rsidRDefault="002665F8" w:rsidP="00F76067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bookmarkEnd w:id="0"/>
    <w:p w14:paraId="78D76597" w14:textId="77777777" w:rsidR="00696B68" w:rsidRDefault="00696B68" w:rsidP="002665F8">
      <w:pPr>
        <w:widowControl w:val="0"/>
        <w:spacing w:after="120" w:line="276" w:lineRule="auto"/>
        <w:rPr>
          <w:rFonts w:ascii="Arial" w:hAnsi="Arial" w:cs="Arial"/>
          <w:b/>
          <w:bCs/>
          <w:sz w:val="32"/>
          <w:szCs w:val="32"/>
        </w:rPr>
      </w:pPr>
    </w:p>
    <w:p w14:paraId="2C1C7265" w14:textId="77777777" w:rsidR="002665F8" w:rsidRDefault="002665F8" w:rsidP="002665F8">
      <w:pPr>
        <w:widowControl w:val="0"/>
        <w:spacing w:after="120" w:line="276" w:lineRule="auto"/>
        <w:rPr>
          <w:rFonts w:ascii="Arial" w:hAnsi="Arial" w:cs="Arial"/>
          <w:b/>
          <w:bCs/>
          <w:sz w:val="32"/>
          <w:szCs w:val="32"/>
        </w:rPr>
      </w:pPr>
    </w:p>
    <w:p w14:paraId="4833EF1E" w14:textId="77777777" w:rsidR="002665F8" w:rsidRDefault="002665F8" w:rsidP="002665F8">
      <w:pPr>
        <w:widowControl w:val="0"/>
        <w:spacing w:after="120" w:line="276" w:lineRule="auto"/>
        <w:rPr>
          <w:rFonts w:ascii="Arial" w:hAnsi="Arial" w:cs="Arial"/>
          <w:b/>
          <w:bCs/>
          <w:sz w:val="32"/>
          <w:szCs w:val="32"/>
        </w:rPr>
      </w:pPr>
    </w:p>
    <w:p w14:paraId="275AB638" w14:textId="77777777" w:rsidR="002665F8" w:rsidRDefault="002665F8" w:rsidP="002665F8">
      <w:pPr>
        <w:widowControl w:val="0"/>
        <w:spacing w:after="120" w:line="276" w:lineRule="auto"/>
        <w:rPr>
          <w:rFonts w:ascii="Arial" w:hAnsi="Arial" w:cs="Arial"/>
          <w:b/>
          <w:bCs/>
          <w:sz w:val="32"/>
          <w:szCs w:val="32"/>
        </w:rPr>
      </w:pPr>
    </w:p>
    <w:p w14:paraId="5E1DD829" w14:textId="68567041" w:rsidR="002665F8" w:rsidRDefault="002665F8" w:rsidP="002665F8">
      <w:pPr>
        <w:widowControl w:val="0"/>
        <w:spacing w:after="120" w:line="276" w:lineRule="auto"/>
        <w:rPr>
          <w:rFonts w:ascii="Arial" w:hAnsi="Arial" w:cs="Arial"/>
          <w:b/>
          <w:bCs/>
        </w:rPr>
        <w:sectPr w:rsidR="002665F8" w:rsidSect="00944689">
          <w:headerReference w:type="default" r:id="rId11"/>
          <w:footerReference w:type="default" r:id="rId12"/>
          <w:pgSz w:w="11908" w:h="16833"/>
          <w:pgMar w:top="1276" w:right="964" w:bottom="1418" w:left="851" w:header="238" w:footer="720" w:gutter="0"/>
          <w:cols w:space="720"/>
          <w:noEndnote/>
          <w:docGrid w:linePitch="326"/>
        </w:sectPr>
      </w:pPr>
      <w:r>
        <w:rPr>
          <w:rFonts w:ascii="Arial" w:hAnsi="Arial" w:cs="Arial"/>
          <w:b/>
          <w:bCs/>
          <w:sz w:val="32"/>
          <w:szCs w:val="32"/>
        </w:rPr>
        <w:lastRenderedPageBreak/>
        <w:t>The Data</w:t>
      </w:r>
    </w:p>
    <w:p w14:paraId="39FA862B" w14:textId="77777777" w:rsidR="00696B68" w:rsidRDefault="00696B68" w:rsidP="005046DF">
      <w:pPr>
        <w:widowControl w:val="0"/>
        <w:spacing w:after="120" w:line="276" w:lineRule="auto"/>
        <w:jc w:val="center"/>
        <w:rPr>
          <w:rFonts w:ascii="Arial" w:hAnsi="Arial" w:cs="Arial"/>
          <w:b/>
          <w:bCs/>
        </w:rPr>
        <w:sectPr w:rsidR="00696B68" w:rsidSect="00696B68">
          <w:type w:val="continuous"/>
          <w:pgSz w:w="11908" w:h="16833"/>
          <w:pgMar w:top="1276" w:right="964" w:bottom="1418" w:left="851" w:header="238" w:footer="720" w:gutter="0"/>
          <w:cols w:space="720"/>
          <w:noEndnote/>
          <w:docGrid w:linePitch="326"/>
        </w:sect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838"/>
        <w:gridCol w:w="8363"/>
      </w:tblGrid>
      <w:tr w:rsidR="00B52864" w:rsidRPr="00480620" w14:paraId="2F14539E" w14:textId="77777777" w:rsidTr="00492FA7">
        <w:trPr>
          <w:trHeight w:val="2656"/>
        </w:trPr>
        <w:tc>
          <w:tcPr>
            <w:tcW w:w="1838" w:type="dxa"/>
            <w:vAlign w:val="center"/>
          </w:tcPr>
          <w:p w14:paraId="4662ECE6" w14:textId="54A8ADF7" w:rsidR="00B52864" w:rsidRPr="00480620" w:rsidRDefault="00956EDD" w:rsidP="005046DF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 xml:space="preserve">Population and </w:t>
            </w:r>
            <w:r w:rsidR="00B52864" w:rsidRPr="00696B68">
              <w:rPr>
                <w:rFonts w:ascii="Arial" w:hAnsi="Arial" w:cs="Arial"/>
                <w:b/>
                <w:bCs/>
              </w:rPr>
              <w:t>Age</w:t>
            </w:r>
            <w:r w:rsidR="00B52864">
              <w:rPr>
                <w:rStyle w:val="FootnoteReference"/>
                <w:rFonts w:ascii="Arial" w:hAnsi="Arial" w:cs="Arial"/>
                <w:b/>
                <w:bCs/>
              </w:rPr>
              <w:footnoteReference w:id="2"/>
            </w:r>
          </w:p>
        </w:tc>
        <w:tc>
          <w:tcPr>
            <w:tcW w:w="8363" w:type="dxa"/>
          </w:tcPr>
          <w:p w14:paraId="28D4AB19" w14:textId="221A3388" w:rsidR="00956EDD" w:rsidRDefault="002665F8" w:rsidP="002665F8">
            <w:pPr>
              <w:widowControl w:val="0"/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population of Test Valley at the 2021 census was 130,492. At the 2011 census, this figure was 116,398 – meaning the population of the borough has increased by 12.1% over ten years.</w:t>
            </w:r>
            <w:r w:rsidR="00956EDD">
              <w:rPr>
                <w:rFonts w:ascii="Arial" w:hAnsi="Arial" w:cs="Arial"/>
              </w:rPr>
              <w:t xml:space="preserve"> In Hampshire, and nationally the population has increased by 6.3%.</w:t>
            </w:r>
          </w:p>
          <w:p w14:paraId="19445403" w14:textId="77777777" w:rsidR="00956EDD" w:rsidRDefault="00956EDD" w:rsidP="00956EDD">
            <w:pPr>
              <w:pStyle w:val="ListParagraph"/>
              <w:widowControl w:val="0"/>
              <w:numPr>
                <w:ilvl w:val="0"/>
                <w:numId w:val="12"/>
              </w:num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41% of the population live in Andover, and 18% of the population live in Romsey.</w:t>
            </w:r>
          </w:p>
          <w:p w14:paraId="75735981" w14:textId="7EB8F963" w:rsidR="00956EDD" w:rsidRDefault="00956EDD" w:rsidP="00956EDD">
            <w:pPr>
              <w:pStyle w:val="ListParagraph"/>
              <w:widowControl w:val="0"/>
              <w:numPr>
                <w:ilvl w:val="0"/>
                <w:numId w:val="12"/>
              </w:num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16.6% of the population are school children and students</w:t>
            </w:r>
          </w:p>
          <w:p w14:paraId="47845912" w14:textId="537758EA" w:rsidR="00956EDD" w:rsidRPr="00956EDD" w:rsidRDefault="00956EDD" w:rsidP="00956EDD">
            <w:pPr>
              <w:pStyle w:val="ListParagraph"/>
              <w:widowControl w:val="0"/>
              <w:numPr>
                <w:ilvl w:val="0"/>
                <w:numId w:val="12"/>
              </w:num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6.1% are military veterans.</w:t>
            </w:r>
          </w:p>
          <w:p w14:paraId="501655ED" w14:textId="1E9618FA" w:rsidR="00956EDD" w:rsidRPr="002665F8" w:rsidRDefault="00956EDD" w:rsidP="002665F8">
            <w:pPr>
              <w:widowControl w:val="0"/>
              <w:spacing w:after="120" w:line="276" w:lineRule="auto"/>
              <w:rPr>
                <w:rFonts w:ascii="Arial" w:hAnsi="Arial" w:cs="Arial"/>
              </w:rPr>
            </w:pPr>
            <w:r w:rsidRPr="002665F8">
              <w:rPr>
                <w:rFonts w:ascii="Arial" w:hAnsi="Arial" w:cs="Arial"/>
              </w:rPr>
              <w:t>The average age for a resident in Test Valley is 44, the figure is the same in Hampshire as a whole. Nationally the average age is 40</w:t>
            </w:r>
            <w:r>
              <w:rPr>
                <w:rFonts w:ascii="Arial" w:hAnsi="Arial" w:cs="Arial"/>
              </w:rPr>
              <w:t>.</w:t>
            </w:r>
          </w:p>
          <w:p w14:paraId="5F8A80C3" w14:textId="5372855D" w:rsidR="00B52864" w:rsidRPr="00696B68" w:rsidRDefault="00B52864" w:rsidP="1F6C3FD5">
            <w:pPr>
              <w:pStyle w:val="ListParagraph"/>
              <w:widowControl w:val="0"/>
              <w:numPr>
                <w:ilvl w:val="0"/>
                <w:numId w:val="7"/>
              </w:numPr>
              <w:spacing w:after="120" w:line="276" w:lineRule="auto"/>
              <w:rPr>
                <w:rFonts w:ascii="Arial" w:hAnsi="Arial" w:cs="Arial"/>
              </w:rPr>
            </w:pPr>
            <w:r w:rsidRPr="00696B6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  <w:r w:rsidRPr="00696B68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8</w:t>
            </w:r>
            <w:r w:rsidRPr="00696B68">
              <w:rPr>
                <w:rFonts w:ascii="Arial" w:hAnsi="Arial" w:cs="Arial"/>
              </w:rPr>
              <w:t>% of the Test Valley population is over 65.</w:t>
            </w:r>
          </w:p>
          <w:p w14:paraId="5F7A9693" w14:textId="1B41B405" w:rsidR="00B52864" w:rsidRPr="00696B68" w:rsidRDefault="00B52864" w:rsidP="1F6C3FD5">
            <w:pPr>
              <w:pStyle w:val="ListParagraph"/>
              <w:widowControl w:val="0"/>
              <w:numPr>
                <w:ilvl w:val="0"/>
                <w:numId w:val="7"/>
              </w:numPr>
              <w:spacing w:after="120" w:line="276" w:lineRule="auto"/>
              <w:rPr>
                <w:rFonts w:ascii="Arial" w:hAnsi="Arial" w:cs="Arial"/>
              </w:rPr>
            </w:pPr>
            <w:r w:rsidRPr="00696B68">
              <w:rPr>
                <w:rFonts w:ascii="Arial" w:hAnsi="Arial" w:cs="Arial"/>
              </w:rPr>
              <w:t>54.88% of over 65s are women and 45.12% of over 65s are men.</w:t>
            </w:r>
          </w:p>
          <w:p w14:paraId="19EA0335" w14:textId="77777777" w:rsidR="00B52864" w:rsidRDefault="00B52864" w:rsidP="00B52864">
            <w:pPr>
              <w:pStyle w:val="ListParagraph"/>
              <w:widowControl w:val="0"/>
              <w:numPr>
                <w:ilvl w:val="0"/>
                <w:numId w:val="8"/>
              </w:numPr>
              <w:spacing w:after="120" w:line="276" w:lineRule="auto"/>
              <w:rPr>
                <w:rFonts w:ascii="Arial" w:hAnsi="Arial" w:cs="Arial"/>
              </w:rPr>
            </w:pPr>
            <w:r w:rsidRPr="00696B68">
              <w:rPr>
                <w:rFonts w:ascii="Arial" w:hAnsi="Arial" w:cs="Arial"/>
              </w:rPr>
              <w:t>21.60% of Test Valley residents are 18 years of age and under.</w:t>
            </w:r>
          </w:p>
          <w:p w14:paraId="077BAFCF" w14:textId="47091A0F" w:rsidR="00B52864" w:rsidRPr="00956EDD" w:rsidRDefault="00B52864" w:rsidP="00B52864">
            <w:pPr>
              <w:pStyle w:val="ListParagraph"/>
              <w:widowControl w:val="0"/>
              <w:numPr>
                <w:ilvl w:val="0"/>
                <w:numId w:val="8"/>
              </w:numPr>
              <w:spacing w:after="120" w:line="276" w:lineRule="auto"/>
              <w:rPr>
                <w:rFonts w:ascii="Arial" w:hAnsi="Arial" w:cs="Arial"/>
              </w:rPr>
            </w:pPr>
            <w:r w:rsidRPr="00B52864">
              <w:rPr>
                <w:rFonts w:ascii="Arial" w:hAnsi="Arial" w:cs="Arial"/>
              </w:rPr>
              <w:t>51.17% of those aged 18 and under are girls and 48.83% are boys</w:t>
            </w:r>
          </w:p>
        </w:tc>
      </w:tr>
      <w:tr w:rsidR="00976EF7" w:rsidRPr="00480620" w14:paraId="41BF65E0" w14:textId="77777777" w:rsidTr="00976EF7">
        <w:trPr>
          <w:trHeight w:val="1631"/>
        </w:trPr>
        <w:tc>
          <w:tcPr>
            <w:tcW w:w="1838" w:type="dxa"/>
            <w:vAlign w:val="center"/>
          </w:tcPr>
          <w:p w14:paraId="006FE7B8" w14:textId="5B1F5B95" w:rsidR="00976EF7" w:rsidRDefault="00976EF7" w:rsidP="00976EF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83DA3">
              <w:rPr>
                <w:rFonts w:ascii="Arial" w:hAnsi="Arial" w:cs="Arial"/>
                <w:b/>
                <w:bCs/>
              </w:rPr>
              <w:t>Gender</w:t>
            </w:r>
          </w:p>
        </w:tc>
        <w:tc>
          <w:tcPr>
            <w:tcW w:w="8363" w:type="dxa"/>
          </w:tcPr>
          <w:p w14:paraId="5D09382C" w14:textId="77777777" w:rsidR="00976EF7" w:rsidRDefault="00976EF7" w:rsidP="00976EF7">
            <w:pPr>
              <w:pStyle w:val="ListParagraph"/>
              <w:widowControl w:val="0"/>
              <w:numPr>
                <w:ilvl w:val="0"/>
                <w:numId w:val="11"/>
              </w:numPr>
              <w:spacing w:after="120" w:line="276" w:lineRule="auto"/>
              <w:rPr>
                <w:rFonts w:ascii="Arial" w:hAnsi="Arial" w:cs="Arial"/>
              </w:rPr>
            </w:pPr>
            <w:r w:rsidRPr="00B52864">
              <w:rPr>
                <w:rFonts w:ascii="Arial" w:hAnsi="Arial" w:cs="Arial"/>
              </w:rPr>
              <w:t>51.9% of Test Valley residents are women and 48.1% are men.</w:t>
            </w:r>
            <w:r w:rsidRPr="00777669">
              <w:rPr>
                <w:rStyle w:val="FootnoteReference"/>
                <w:rFonts w:ascii="Arial" w:hAnsi="Arial" w:cs="Arial"/>
              </w:rPr>
              <w:footnoteReference w:id="3"/>
            </w:r>
            <w:r w:rsidRPr="00B52864">
              <w:rPr>
                <w:rFonts w:ascii="Arial" w:hAnsi="Arial" w:cs="Arial"/>
              </w:rPr>
              <w:t xml:space="preserve"> </w:t>
            </w:r>
          </w:p>
          <w:p w14:paraId="601932D1" w14:textId="45BCD00B" w:rsidR="00976EF7" w:rsidRDefault="00976EF7" w:rsidP="00976EF7">
            <w:pPr>
              <w:widowControl w:val="0"/>
              <w:spacing w:after="120" w:line="276" w:lineRule="auto"/>
              <w:rPr>
                <w:rFonts w:ascii="Arial" w:hAnsi="Arial" w:cs="Arial"/>
              </w:rPr>
            </w:pPr>
            <w:r w:rsidRPr="00B52864">
              <w:rPr>
                <w:rFonts w:ascii="Arial" w:hAnsi="Arial" w:cs="Arial"/>
              </w:rPr>
              <w:t>17 (36.95%) of Test Valley’s 43 Borough Councillors are women and four of the eight (50.0%) Cabinet members are female.</w:t>
            </w:r>
          </w:p>
        </w:tc>
      </w:tr>
      <w:tr w:rsidR="00976EF7" w:rsidRPr="00480620" w14:paraId="65C66C75" w14:textId="77777777" w:rsidTr="00492FA7">
        <w:tc>
          <w:tcPr>
            <w:tcW w:w="1838" w:type="dxa"/>
            <w:vAlign w:val="center"/>
          </w:tcPr>
          <w:p w14:paraId="7D11DF0C" w14:textId="63A9C104" w:rsidR="00976EF7" w:rsidRPr="00B00195" w:rsidRDefault="00976EF7" w:rsidP="00976EF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00195">
              <w:rPr>
                <w:rFonts w:ascii="Arial" w:hAnsi="Arial" w:cs="Arial"/>
                <w:b/>
                <w:bCs/>
              </w:rPr>
              <w:t>Ethnicity</w:t>
            </w:r>
          </w:p>
        </w:tc>
        <w:tc>
          <w:tcPr>
            <w:tcW w:w="8363" w:type="dxa"/>
          </w:tcPr>
          <w:p w14:paraId="21C4ED6C" w14:textId="3FA0B146" w:rsidR="00976EF7" w:rsidRDefault="00976EF7" w:rsidP="00976EF7">
            <w:pPr>
              <w:spacing w:after="120" w:line="276" w:lineRule="auto"/>
              <w:rPr>
                <w:rFonts w:ascii="Arial" w:hAnsi="Arial" w:cs="Arial"/>
              </w:rPr>
            </w:pPr>
            <w:r w:rsidRPr="00B00195">
              <w:rPr>
                <w:rFonts w:ascii="Arial" w:hAnsi="Arial" w:cs="Arial"/>
              </w:rPr>
              <w:t xml:space="preserve">According to the 2021 Census, 88.0% of the population in Test Valley is White British, with 12.1% of the population from Black, Asian, other white or Mixed/Multiple ethnic backgrounds. </w:t>
            </w:r>
          </w:p>
          <w:p w14:paraId="31A6C453" w14:textId="17F5B5BC" w:rsidR="00976EF7" w:rsidRPr="00B00195" w:rsidRDefault="00976EF7" w:rsidP="00976EF7">
            <w:pPr>
              <w:spacing w:after="120" w:line="276" w:lineRule="auto"/>
              <w:rPr>
                <w:rFonts w:ascii="Arial" w:hAnsi="Arial" w:cs="Arial"/>
              </w:rPr>
            </w:pPr>
            <w:r w:rsidRPr="00B00195">
              <w:rPr>
                <w:rFonts w:ascii="Arial" w:hAnsi="Arial" w:cs="Arial"/>
              </w:rPr>
              <w:t>Ther</w:t>
            </w:r>
            <w:r>
              <w:rPr>
                <w:rFonts w:ascii="Arial" w:hAnsi="Arial" w:cs="Arial"/>
              </w:rPr>
              <w:t>e</w:t>
            </w:r>
            <w:r w:rsidRPr="00B00195">
              <w:rPr>
                <w:rFonts w:ascii="Arial" w:hAnsi="Arial" w:cs="Arial"/>
              </w:rPr>
              <w:t xml:space="preserve"> are 76 main languages spoken in Test Valley, and 95.8% of residents have English as their first language</w:t>
            </w:r>
            <w:r w:rsidRPr="00B00195">
              <w:rPr>
                <w:rStyle w:val="FootnoteReference"/>
                <w:rFonts w:ascii="Arial" w:hAnsi="Arial" w:cs="Arial"/>
              </w:rPr>
              <w:footnoteReference w:id="4"/>
            </w:r>
          </w:p>
        </w:tc>
      </w:tr>
      <w:tr w:rsidR="00976EF7" w:rsidRPr="00480620" w14:paraId="2214D21E" w14:textId="77777777" w:rsidTr="00492FA7">
        <w:tc>
          <w:tcPr>
            <w:tcW w:w="1838" w:type="dxa"/>
            <w:vAlign w:val="center"/>
          </w:tcPr>
          <w:p w14:paraId="083BA936" w14:textId="455ECE09" w:rsidR="00976EF7" w:rsidRPr="00B00195" w:rsidRDefault="00976EF7" w:rsidP="00976EF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B00195">
              <w:rPr>
                <w:rFonts w:ascii="Arial" w:hAnsi="Arial" w:cs="Arial"/>
                <w:b/>
                <w:bCs/>
              </w:rPr>
              <w:t xml:space="preserve">Gypsy, Traveller, Roma, Showmen and Boater </w:t>
            </w:r>
            <w:r w:rsidRPr="00B00195">
              <w:rPr>
                <w:rFonts w:ascii="Arial" w:hAnsi="Arial" w:cs="Arial"/>
                <w:b/>
                <w:bCs/>
              </w:rPr>
              <w:lastRenderedPageBreak/>
              <w:t>(GTRSB)</w:t>
            </w:r>
          </w:p>
        </w:tc>
        <w:tc>
          <w:tcPr>
            <w:tcW w:w="8363" w:type="dxa"/>
          </w:tcPr>
          <w:p w14:paraId="79B8EF75" w14:textId="516D77C1" w:rsidR="00976EF7" w:rsidRPr="00B00195" w:rsidRDefault="00976EF7" w:rsidP="00976EF7">
            <w:pPr>
              <w:spacing w:after="120" w:line="276" w:lineRule="auto"/>
              <w:rPr>
                <w:rFonts w:ascii="Arial" w:hAnsi="Arial" w:cs="Arial"/>
              </w:rPr>
            </w:pPr>
            <w:r w:rsidRPr="00B00195">
              <w:rPr>
                <w:rFonts w:ascii="Arial" w:hAnsi="Arial" w:cs="Arial"/>
              </w:rPr>
              <w:lastRenderedPageBreak/>
              <w:t>Very little data regarding the number of Gypsies and Travellers in the borough at any one time</w:t>
            </w:r>
            <w:r>
              <w:rPr>
                <w:rFonts w:ascii="Arial" w:hAnsi="Arial" w:cs="Arial"/>
              </w:rPr>
              <w:t xml:space="preserve"> </w:t>
            </w:r>
            <w:r w:rsidRPr="00B00195">
              <w:rPr>
                <w:rFonts w:ascii="Arial" w:hAnsi="Arial" w:cs="Arial"/>
              </w:rPr>
              <w:t>is available</w:t>
            </w:r>
            <w:r w:rsidRPr="00B00195">
              <w:rPr>
                <w:rFonts w:ascii="Arial" w:hAnsi="Arial" w:cs="Arial"/>
              </w:rPr>
              <w:t>. The latest EMTAS</w:t>
            </w:r>
            <w:r>
              <w:rPr>
                <w:rFonts w:ascii="Arial" w:hAnsi="Arial" w:cs="Arial"/>
              </w:rPr>
              <w:t xml:space="preserve"> (</w:t>
            </w:r>
            <w:r w:rsidRPr="00340AFC">
              <w:rPr>
                <w:rFonts w:ascii="Arial" w:hAnsi="Arial" w:cs="Arial"/>
              </w:rPr>
              <w:t xml:space="preserve">Ethnic Minority and </w:t>
            </w:r>
            <w:r w:rsidRPr="00340AFC">
              <w:rPr>
                <w:rFonts w:ascii="Arial" w:hAnsi="Arial" w:cs="Arial"/>
              </w:rPr>
              <w:lastRenderedPageBreak/>
              <w:t>Traveller Achievement</w:t>
            </w:r>
            <w:r>
              <w:rPr>
                <w:rFonts w:ascii="Arial" w:hAnsi="Arial" w:cs="Arial"/>
              </w:rPr>
              <w:t xml:space="preserve"> Service)</w:t>
            </w:r>
            <w:r w:rsidRPr="00B00195">
              <w:rPr>
                <w:rFonts w:ascii="Arial" w:hAnsi="Arial" w:cs="Arial"/>
              </w:rPr>
              <w:t xml:space="preserve"> figures record 92 children from GTRSB backgrounds in Test Valley schools.</w:t>
            </w:r>
            <w:r w:rsidRPr="00B00195">
              <w:rPr>
                <w:rStyle w:val="FootnoteReference"/>
                <w:rFonts w:ascii="Arial" w:hAnsi="Arial" w:cs="Arial"/>
              </w:rPr>
              <w:footnoteReference w:id="5"/>
            </w:r>
          </w:p>
          <w:p w14:paraId="73D734E3" w14:textId="40C98179" w:rsidR="00976EF7" w:rsidRPr="00B00195" w:rsidRDefault="00976EF7" w:rsidP="00976EF7">
            <w:pPr>
              <w:spacing w:after="120" w:line="276" w:lineRule="auto"/>
              <w:rPr>
                <w:rFonts w:ascii="Arial" w:hAnsi="Arial" w:cs="Arial"/>
                <w:b/>
                <w:bCs/>
                <w:vertAlign w:val="superscript"/>
              </w:rPr>
            </w:pPr>
            <w:r w:rsidRPr="00B00195">
              <w:rPr>
                <w:rFonts w:ascii="Arial" w:hAnsi="Arial" w:cs="Arial"/>
              </w:rPr>
              <w:t>At the time of the 2021 Census, there were 259 people who identified as White Roma, Gypsy or Irish Traveller living in the borough.</w:t>
            </w:r>
          </w:p>
        </w:tc>
      </w:tr>
      <w:tr w:rsidR="00976EF7" w:rsidRPr="00480620" w14:paraId="3E9211E8" w14:textId="77777777" w:rsidTr="00492FA7">
        <w:tc>
          <w:tcPr>
            <w:tcW w:w="1838" w:type="dxa"/>
            <w:vAlign w:val="center"/>
          </w:tcPr>
          <w:p w14:paraId="13CD80B9" w14:textId="49C39E70" w:rsidR="00976EF7" w:rsidRPr="00B00195" w:rsidRDefault="00976EF7" w:rsidP="00976EF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B00195">
              <w:rPr>
                <w:rFonts w:ascii="Arial" w:hAnsi="Arial" w:cs="Arial"/>
                <w:b/>
                <w:bCs/>
              </w:rPr>
              <w:lastRenderedPageBreak/>
              <w:t>Disability</w:t>
            </w:r>
          </w:p>
        </w:tc>
        <w:tc>
          <w:tcPr>
            <w:tcW w:w="8363" w:type="dxa"/>
          </w:tcPr>
          <w:p w14:paraId="7781EEEF" w14:textId="77777777" w:rsidR="00976EF7" w:rsidRDefault="00976EF7" w:rsidP="00976EF7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B00195">
              <w:rPr>
                <w:rFonts w:ascii="Arial" w:hAnsi="Arial" w:cs="Arial"/>
              </w:rPr>
              <w:t>At the time of the 2021 census, 15.6% of the borough’s population were disabled, as defined by the Equality Act, of which 5.8% were limited a lot in their day-to-day activity and 9.8% were limited a little.</w:t>
            </w:r>
          </w:p>
          <w:p w14:paraId="1436648F" w14:textId="5506A3AF" w:rsidR="00976EF7" w:rsidRPr="0013579E" w:rsidRDefault="00976EF7" w:rsidP="00976EF7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13579E">
              <w:rPr>
                <w:rFonts w:ascii="Arial" w:hAnsi="Arial" w:cs="Arial"/>
              </w:rPr>
              <w:t>Nationally, 17.3% of the population were disabled, of which 7.5% were limited a lot in their day-to-day activities, and 10.2% were limited a little.</w:t>
            </w:r>
          </w:p>
          <w:p w14:paraId="4DCFF90C" w14:textId="4EB83784" w:rsidR="00976EF7" w:rsidRPr="00B00195" w:rsidRDefault="00976EF7" w:rsidP="00976EF7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B00195">
              <w:rPr>
                <w:rFonts w:ascii="Arial" w:hAnsi="Arial" w:cs="Arial"/>
              </w:rPr>
              <w:t xml:space="preserve">  </w:t>
            </w:r>
          </w:p>
        </w:tc>
      </w:tr>
      <w:tr w:rsidR="00976EF7" w:rsidRPr="00480620" w14:paraId="6A59C273" w14:textId="77777777" w:rsidTr="00492FA7">
        <w:tc>
          <w:tcPr>
            <w:tcW w:w="1838" w:type="dxa"/>
            <w:vAlign w:val="center"/>
          </w:tcPr>
          <w:p w14:paraId="04C5D53D" w14:textId="6963DB8B" w:rsidR="00976EF7" w:rsidRPr="00B00195" w:rsidRDefault="00976EF7" w:rsidP="00976EF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00195">
              <w:rPr>
                <w:rFonts w:ascii="Arial" w:hAnsi="Arial" w:cs="Arial"/>
                <w:b/>
                <w:bCs/>
              </w:rPr>
              <w:t>Religion</w:t>
            </w:r>
          </w:p>
        </w:tc>
        <w:tc>
          <w:tcPr>
            <w:tcW w:w="8363" w:type="dxa"/>
          </w:tcPr>
          <w:p w14:paraId="281519E4" w14:textId="20E0CCF9" w:rsidR="00976EF7" w:rsidRPr="00B00195" w:rsidRDefault="00976EF7" w:rsidP="00976EF7">
            <w:pPr>
              <w:spacing w:before="120" w:after="120" w:line="276" w:lineRule="auto"/>
              <w:rPr>
                <w:rFonts w:ascii="Arial" w:hAnsi="Arial" w:cs="Arial"/>
              </w:rPr>
            </w:pPr>
            <w:r w:rsidRPr="00B00195">
              <w:rPr>
                <w:rFonts w:ascii="Arial" w:hAnsi="Arial" w:cs="Arial"/>
              </w:rPr>
              <w:t>53.7% of people living in Test Valley have a religious belief or faith, whilst 40.6% stated they had no religion (5.7% of people did not state a religion).</w:t>
            </w:r>
          </w:p>
          <w:p w14:paraId="4CF75BD9" w14:textId="61DCA2F0" w:rsidR="00976EF7" w:rsidRPr="00B00195" w:rsidRDefault="00976EF7" w:rsidP="00976EF7">
            <w:pPr>
              <w:spacing w:before="120" w:after="120" w:line="276" w:lineRule="auto"/>
              <w:rPr>
                <w:rFonts w:ascii="Arial" w:hAnsi="Arial" w:cs="Arial"/>
              </w:rPr>
            </w:pPr>
            <w:r w:rsidRPr="00B00195">
              <w:rPr>
                <w:rFonts w:ascii="Arial" w:hAnsi="Arial" w:cs="Arial"/>
              </w:rPr>
              <w:t xml:space="preserve">50.5% of people stated their religion as Christianity, this was the most common religion stated. </w:t>
            </w:r>
          </w:p>
          <w:p w14:paraId="3492447A" w14:textId="5D173352" w:rsidR="00976EF7" w:rsidRPr="00B00195" w:rsidRDefault="00976EF7" w:rsidP="00976EF7">
            <w:pPr>
              <w:widowControl w:val="0"/>
              <w:spacing w:after="120" w:line="276" w:lineRule="auto"/>
              <w:rPr>
                <w:rFonts w:ascii="Arial" w:hAnsi="Arial" w:cs="Arial"/>
              </w:rPr>
            </w:pPr>
            <w:r w:rsidRPr="00B00195">
              <w:rPr>
                <w:rFonts w:ascii="Arial" w:hAnsi="Arial" w:cs="Arial"/>
              </w:rPr>
              <w:t>0.9% of people identified as Muslim, 0.8% of people identified as Hindu, 0.5% identified as Buddhist, 0.4% identified as Sikh, 0.1% as Jewish, and 0.5% as adhering to another religion.</w:t>
            </w:r>
          </w:p>
        </w:tc>
      </w:tr>
      <w:tr w:rsidR="00976EF7" w:rsidRPr="00480620" w14:paraId="25A30D13" w14:textId="77777777" w:rsidTr="00492FA7">
        <w:tc>
          <w:tcPr>
            <w:tcW w:w="1838" w:type="dxa"/>
            <w:vAlign w:val="center"/>
          </w:tcPr>
          <w:p w14:paraId="1085B695" w14:textId="10C69521" w:rsidR="00976EF7" w:rsidRPr="00B00195" w:rsidRDefault="00976EF7" w:rsidP="00976EF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00195">
              <w:rPr>
                <w:rFonts w:ascii="Arial" w:hAnsi="Arial" w:cs="Arial"/>
                <w:b/>
                <w:bCs/>
              </w:rPr>
              <w:t>LGBT</w:t>
            </w:r>
            <w:r>
              <w:rPr>
                <w:rFonts w:ascii="Arial" w:hAnsi="Arial" w:cs="Arial"/>
                <w:b/>
                <w:bCs/>
              </w:rPr>
              <w:t>+</w:t>
            </w:r>
          </w:p>
        </w:tc>
        <w:tc>
          <w:tcPr>
            <w:tcW w:w="8363" w:type="dxa"/>
          </w:tcPr>
          <w:p w14:paraId="23ADC3CF" w14:textId="7B88EF54" w:rsidR="00976EF7" w:rsidRPr="00B00195" w:rsidRDefault="00976EF7" w:rsidP="00976EF7">
            <w:pPr>
              <w:spacing w:line="276" w:lineRule="auto"/>
              <w:rPr>
                <w:rFonts w:ascii="Arial" w:hAnsi="Arial" w:cs="Arial"/>
              </w:rPr>
            </w:pPr>
            <w:r w:rsidRPr="00B00195">
              <w:rPr>
                <w:rFonts w:ascii="Arial" w:hAnsi="Arial" w:cs="Arial"/>
              </w:rPr>
              <w:t xml:space="preserve">In Test Valley, 91.5% </w:t>
            </w:r>
            <w:r>
              <w:rPr>
                <w:rFonts w:ascii="Arial" w:hAnsi="Arial" w:cs="Arial"/>
              </w:rPr>
              <w:t>of people identified as</w:t>
            </w:r>
            <w:r w:rsidRPr="00B0019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 w:rsidRPr="00B00195">
              <w:rPr>
                <w:rFonts w:ascii="Arial" w:hAnsi="Arial" w:cs="Arial"/>
              </w:rPr>
              <w:t>eterosexual/</w:t>
            </w:r>
            <w:r>
              <w:rPr>
                <w:rFonts w:ascii="Arial" w:hAnsi="Arial" w:cs="Arial"/>
              </w:rPr>
              <w:t>s</w:t>
            </w:r>
            <w:r w:rsidRPr="00B00195">
              <w:rPr>
                <w:rFonts w:ascii="Arial" w:hAnsi="Arial" w:cs="Arial"/>
              </w:rPr>
              <w:t xml:space="preserve">traight, and 6.1% did not answer. 1.1% were </w:t>
            </w:r>
            <w:r>
              <w:rPr>
                <w:rFonts w:ascii="Arial" w:hAnsi="Arial" w:cs="Arial"/>
              </w:rPr>
              <w:t>g</w:t>
            </w:r>
            <w:r w:rsidRPr="00B00195">
              <w:rPr>
                <w:rFonts w:ascii="Arial" w:hAnsi="Arial" w:cs="Arial"/>
              </w:rPr>
              <w:t xml:space="preserve">ay or </w:t>
            </w:r>
            <w:r>
              <w:rPr>
                <w:rFonts w:ascii="Arial" w:hAnsi="Arial" w:cs="Arial"/>
              </w:rPr>
              <w:t>l</w:t>
            </w:r>
            <w:r w:rsidRPr="00B00195">
              <w:rPr>
                <w:rFonts w:ascii="Arial" w:hAnsi="Arial" w:cs="Arial"/>
              </w:rPr>
              <w:t xml:space="preserve">esbian, 1% were </w:t>
            </w:r>
            <w:r>
              <w:rPr>
                <w:rFonts w:ascii="Arial" w:hAnsi="Arial" w:cs="Arial"/>
              </w:rPr>
              <w:t>b</w:t>
            </w:r>
            <w:r w:rsidRPr="00B00195">
              <w:rPr>
                <w:rFonts w:ascii="Arial" w:hAnsi="Arial" w:cs="Arial"/>
              </w:rPr>
              <w:t xml:space="preserve">isexual and 0.2% stated another sexual orientation. </w:t>
            </w:r>
          </w:p>
          <w:p w14:paraId="52E476AA" w14:textId="77777777" w:rsidR="00976EF7" w:rsidRPr="00B00195" w:rsidRDefault="00976EF7" w:rsidP="00976EF7">
            <w:pPr>
              <w:spacing w:line="276" w:lineRule="auto"/>
              <w:rPr>
                <w:rFonts w:ascii="Arial" w:hAnsi="Arial" w:cs="Arial"/>
              </w:rPr>
            </w:pPr>
          </w:p>
          <w:p w14:paraId="6FC24A2A" w14:textId="1813C03B" w:rsidR="00976EF7" w:rsidRPr="00B00195" w:rsidRDefault="00976EF7" w:rsidP="00976EF7">
            <w:pPr>
              <w:spacing w:line="276" w:lineRule="auto"/>
              <w:rPr>
                <w:rFonts w:ascii="Arial" w:hAnsi="Arial" w:cs="Arial"/>
              </w:rPr>
            </w:pPr>
            <w:r w:rsidRPr="00B00195">
              <w:rPr>
                <w:rFonts w:ascii="Arial" w:hAnsi="Arial" w:cs="Arial"/>
              </w:rPr>
              <w:t xml:space="preserve">The 2021 Census records 233 same-sex marriages in the borough, and 144 same-sex civil partnerships. </w:t>
            </w:r>
          </w:p>
          <w:p w14:paraId="3696749D" w14:textId="77777777" w:rsidR="00976EF7" w:rsidRPr="0064743E" w:rsidRDefault="00976EF7" w:rsidP="00976EF7">
            <w:pPr>
              <w:pStyle w:val="Default"/>
              <w:rPr>
                <w:rFonts w:ascii="Arial" w:hAnsi="Arial" w:cs="Arial"/>
              </w:rPr>
            </w:pPr>
          </w:p>
          <w:p w14:paraId="6AF7F67B" w14:textId="43FDB713" w:rsidR="00976EF7" w:rsidRPr="00B00195" w:rsidRDefault="00976EF7" w:rsidP="00976EF7">
            <w:pPr>
              <w:pStyle w:val="Default"/>
              <w:rPr>
                <w:rFonts w:ascii="Arial" w:hAnsi="Arial" w:cs="Arial"/>
              </w:rPr>
            </w:pPr>
            <w:r w:rsidRPr="0064743E">
              <w:rPr>
                <w:rFonts w:ascii="Arial" w:hAnsi="Arial" w:cs="Arial"/>
              </w:rPr>
              <w:t>241 people responded that were transgender – meaning they had a gender identity that was different from the gender assigned at birth. In Test Valley, trans people male up this makes up 0.4% of the borough’s population.</w:t>
            </w:r>
          </w:p>
          <w:p w14:paraId="74BA2ED1" w14:textId="2AA8CDFB" w:rsidR="00976EF7" w:rsidRPr="00B00195" w:rsidRDefault="00976EF7" w:rsidP="00976EF7">
            <w:pPr>
              <w:pStyle w:val="Default"/>
            </w:pPr>
          </w:p>
        </w:tc>
      </w:tr>
      <w:tr w:rsidR="00976EF7" w14:paraId="54E6E1F5" w14:textId="77777777" w:rsidTr="00492FA7">
        <w:tc>
          <w:tcPr>
            <w:tcW w:w="1838" w:type="dxa"/>
            <w:vAlign w:val="center"/>
          </w:tcPr>
          <w:p w14:paraId="2E1DA802" w14:textId="5EEF3D82" w:rsidR="00976EF7" w:rsidRPr="00480620" w:rsidRDefault="00976EF7" w:rsidP="00976EF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B00195">
              <w:rPr>
                <w:rFonts w:ascii="Arial" w:hAnsi="Arial" w:cs="Arial"/>
                <w:b/>
                <w:bCs/>
              </w:rPr>
              <w:t>Socio-economic</w:t>
            </w:r>
          </w:p>
        </w:tc>
        <w:tc>
          <w:tcPr>
            <w:tcW w:w="8363" w:type="dxa"/>
          </w:tcPr>
          <w:p w14:paraId="1C3766F2" w14:textId="77777777" w:rsidR="00976EF7" w:rsidRPr="0013579E" w:rsidRDefault="00976EF7" w:rsidP="00976EF7">
            <w:pPr>
              <w:spacing w:line="276" w:lineRule="auto"/>
              <w:rPr>
                <w:rFonts w:ascii="Arial" w:hAnsi="Arial" w:cs="Arial"/>
              </w:rPr>
            </w:pPr>
            <w:r w:rsidRPr="0013579E">
              <w:rPr>
                <w:rFonts w:ascii="Arial" w:hAnsi="Arial" w:cs="Arial"/>
              </w:rPr>
              <w:t>The English Index of Multiple Deprivation 2019 is designed to identify areas where communities lack resources and are in need. To do this, seven factors are considered. These are:</w:t>
            </w:r>
          </w:p>
          <w:p w14:paraId="147512E1" w14:textId="77777777" w:rsidR="00976EF7" w:rsidRPr="0013579E" w:rsidRDefault="00976EF7" w:rsidP="00976EF7">
            <w:pPr>
              <w:spacing w:line="276" w:lineRule="auto"/>
              <w:rPr>
                <w:rFonts w:ascii="Arial" w:hAnsi="Arial" w:cs="Arial"/>
              </w:rPr>
            </w:pPr>
            <w:r w:rsidRPr="0013579E">
              <w:rPr>
                <w:rFonts w:ascii="Arial" w:hAnsi="Arial" w:cs="Arial"/>
              </w:rPr>
              <w:t>•</w:t>
            </w:r>
            <w:r w:rsidRPr="0013579E">
              <w:rPr>
                <w:rFonts w:ascii="Arial" w:hAnsi="Arial" w:cs="Arial"/>
              </w:rPr>
              <w:tab/>
              <w:t>income deprivation</w:t>
            </w:r>
          </w:p>
          <w:p w14:paraId="6A6207B8" w14:textId="77777777" w:rsidR="00976EF7" w:rsidRPr="0013579E" w:rsidRDefault="00976EF7" w:rsidP="00976EF7">
            <w:pPr>
              <w:spacing w:line="276" w:lineRule="auto"/>
              <w:rPr>
                <w:rFonts w:ascii="Arial" w:hAnsi="Arial" w:cs="Arial"/>
              </w:rPr>
            </w:pPr>
            <w:r w:rsidRPr="0013579E">
              <w:rPr>
                <w:rFonts w:ascii="Arial" w:hAnsi="Arial" w:cs="Arial"/>
              </w:rPr>
              <w:t>•</w:t>
            </w:r>
            <w:r w:rsidRPr="0013579E">
              <w:rPr>
                <w:rFonts w:ascii="Arial" w:hAnsi="Arial" w:cs="Arial"/>
              </w:rPr>
              <w:tab/>
              <w:t>employment deprivation</w:t>
            </w:r>
          </w:p>
          <w:p w14:paraId="4DCF10B5" w14:textId="77777777" w:rsidR="00976EF7" w:rsidRPr="0013579E" w:rsidRDefault="00976EF7" w:rsidP="00976EF7">
            <w:pPr>
              <w:spacing w:line="276" w:lineRule="auto"/>
              <w:rPr>
                <w:rFonts w:ascii="Arial" w:hAnsi="Arial" w:cs="Arial"/>
              </w:rPr>
            </w:pPr>
            <w:r w:rsidRPr="0013579E">
              <w:rPr>
                <w:rFonts w:ascii="Arial" w:hAnsi="Arial" w:cs="Arial"/>
              </w:rPr>
              <w:t>•</w:t>
            </w:r>
            <w:r w:rsidRPr="0013579E">
              <w:rPr>
                <w:rFonts w:ascii="Arial" w:hAnsi="Arial" w:cs="Arial"/>
              </w:rPr>
              <w:tab/>
              <w:t>education, skills and training deprivation</w:t>
            </w:r>
          </w:p>
          <w:p w14:paraId="1BC0DB0E" w14:textId="77777777" w:rsidR="00976EF7" w:rsidRPr="0013579E" w:rsidRDefault="00976EF7" w:rsidP="00976EF7">
            <w:pPr>
              <w:spacing w:line="276" w:lineRule="auto"/>
              <w:rPr>
                <w:rFonts w:ascii="Arial" w:hAnsi="Arial" w:cs="Arial"/>
              </w:rPr>
            </w:pPr>
            <w:r w:rsidRPr="0013579E">
              <w:rPr>
                <w:rFonts w:ascii="Arial" w:hAnsi="Arial" w:cs="Arial"/>
              </w:rPr>
              <w:t>•</w:t>
            </w:r>
            <w:r w:rsidRPr="0013579E">
              <w:rPr>
                <w:rFonts w:ascii="Arial" w:hAnsi="Arial" w:cs="Arial"/>
              </w:rPr>
              <w:tab/>
              <w:t>health deprivation and disability</w:t>
            </w:r>
          </w:p>
          <w:p w14:paraId="50A05FC2" w14:textId="77777777" w:rsidR="00976EF7" w:rsidRPr="0013579E" w:rsidRDefault="00976EF7" w:rsidP="00976EF7">
            <w:pPr>
              <w:spacing w:line="276" w:lineRule="auto"/>
              <w:rPr>
                <w:rFonts w:ascii="Arial" w:hAnsi="Arial" w:cs="Arial"/>
              </w:rPr>
            </w:pPr>
            <w:r w:rsidRPr="0013579E">
              <w:rPr>
                <w:rFonts w:ascii="Arial" w:hAnsi="Arial" w:cs="Arial"/>
              </w:rPr>
              <w:t>•</w:t>
            </w:r>
            <w:r w:rsidRPr="0013579E">
              <w:rPr>
                <w:rFonts w:ascii="Arial" w:hAnsi="Arial" w:cs="Arial"/>
              </w:rPr>
              <w:tab/>
              <w:t>crime</w:t>
            </w:r>
          </w:p>
          <w:p w14:paraId="33866DBE" w14:textId="77777777" w:rsidR="00976EF7" w:rsidRPr="0013579E" w:rsidRDefault="00976EF7" w:rsidP="00976EF7">
            <w:pPr>
              <w:spacing w:line="276" w:lineRule="auto"/>
              <w:rPr>
                <w:rFonts w:ascii="Arial" w:hAnsi="Arial" w:cs="Arial"/>
              </w:rPr>
            </w:pPr>
            <w:r w:rsidRPr="0013579E">
              <w:rPr>
                <w:rFonts w:ascii="Arial" w:hAnsi="Arial" w:cs="Arial"/>
              </w:rPr>
              <w:lastRenderedPageBreak/>
              <w:t>•</w:t>
            </w:r>
            <w:r w:rsidRPr="0013579E">
              <w:rPr>
                <w:rFonts w:ascii="Arial" w:hAnsi="Arial" w:cs="Arial"/>
              </w:rPr>
              <w:tab/>
              <w:t>barriers to housing and services</w:t>
            </w:r>
          </w:p>
          <w:p w14:paraId="7E5BB850" w14:textId="472CEAD0" w:rsidR="00976EF7" w:rsidRDefault="00976EF7" w:rsidP="00976EF7">
            <w:pPr>
              <w:spacing w:line="276" w:lineRule="auto"/>
              <w:rPr>
                <w:rFonts w:ascii="Arial" w:hAnsi="Arial" w:cs="Arial"/>
              </w:rPr>
            </w:pPr>
            <w:r w:rsidRPr="0013579E">
              <w:rPr>
                <w:rFonts w:ascii="Arial" w:hAnsi="Arial" w:cs="Arial"/>
              </w:rPr>
              <w:t>•</w:t>
            </w:r>
            <w:r w:rsidRPr="0013579E">
              <w:rPr>
                <w:rFonts w:ascii="Arial" w:hAnsi="Arial" w:cs="Arial"/>
              </w:rPr>
              <w:tab/>
              <w:t>living environment deprivation.</w:t>
            </w:r>
          </w:p>
          <w:p w14:paraId="67AA8557" w14:textId="77777777" w:rsidR="00976EF7" w:rsidRDefault="00976EF7" w:rsidP="00976EF7">
            <w:pPr>
              <w:spacing w:line="276" w:lineRule="auto"/>
              <w:rPr>
                <w:rFonts w:ascii="Arial" w:hAnsi="Arial" w:cs="Arial"/>
              </w:rPr>
            </w:pPr>
          </w:p>
          <w:p w14:paraId="1B4CDAF5" w14:textId="29AA1E5E" w:rsidR="00976EF7" w:rsidRPr="00B00195" w:rsidRDefault="00976EF7" w:rsidP="00976EF7">
            <w:pPr>
              <w:spacing w:line="276" w:lineRule="auto"/>
              <w:rPr>
                <w:rFonts w:ascii="Arial" w:hAnsi="Arial" w:cs="Arial"/>
              </w:rPr>
            </w:pPr>
            <w:r w:rsidRPr="00B00195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uch</w:t>
            </w:r>
            <w:r w:rsidRPr="00B00195">
              <w:rPr>
                <w:rFonts w:ascii="Arial" w:hAnsi="Arial" w:cs="Arial"/>
              </w:rPr>
              <w:t xml:space="preserve"> of Test Valley </w:t>
            </w:r>
            <w:r>
              <w:rPr>
                <w:rFonts w:ascii="Arial" w:hAnsi="Arial" w:cs="Arial"/>
              </w:rPr>
              <w:t>is</w:t>
            </w:r>
            <w:r w:rsidRPr="00B00195">
              <w:rPr>
                <w:rFonts w:ascii="Arial" w:hAnsi="Arial" w:cs="Arial"/>
              </w:rPr>
              <w:t xml:space="preserve"> not considered to be deprived, according to the Indices </w:t>
            </w:r>
            <w:r w:rsidRPr="00065CE1">
              <w:rPr>
                <w:rFonts w:ascii="Arial" w:hAnsi="Arial" w:cs="Arial"/>
              </w:rPr>
              <w:t>of Multiple Deprivation 2019. However, Andover Harroway Ward has one area which is classified as suffering from deprivation and falls amongst the 20% most deprived areas in England.</w:t>
            </w:r>
            <w:r w:rsidRPr="00065CE1">
              <w:rPr>
                <w:rStyle w:val="FootnoteReference"/>
                <w:rFonts w:ascii="Arial" w:hAnsi="Arial" w:cs="Arial"/>
              </w:rPr>
              <w:footnoteReference w:id="6"/>
            </w:r>
          </w:p>
          <w:p w14:paraId="3A540642" w14:textId="77777777" w:rsidR="00976EF7" w:rsidRPr="00B00195" w:rsidRDefault="00976EF7" w:rsidP="00976EF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42C32ECA" w14:textId="78AE1BDA" w:rsidR="00976EF7" w:rsidRPr="00B00195" w:rsidRDefault="00976EF7" w:rsidP="00976EF7">
            <w:pPr>
              <w:spacing w:line="276" w:lineRule="auto"/>
              <w:rPr>
                <w:rFonts w:ascii="Arial" w:hAnsi="Arial" w:cs="Arial"/>
              </w:rPr>
            </w:pPr>
            <w:r w:rsidRPr="00B00195">
              <w:rPr>
                <w:rFonts w:ascii="Arial" w:hAnsi="Arial" w:cs="Arial"/>
              </w:rPr>
              <w:t xml:space="preserve">2.5% of economically active people in Test Valley are unemployed, compared with 3.7% </w:t>
            </w:r>
            <w:r>
              <w:rPr>
                <w:rFonts w:ascii="Arial" w:hAnsi="Arial" w:cs="Arial"/>
              </w:rPr>
              <w:t>nationally</w:t>
            </w:r>
            <w:r w:rsidRPr="00B00195">
              <w:rPr>
                <w:rFonts w:ascii="Arial" w:hAnsi="Arial" w:cs="Arial"/>
              </w:rPr>
              <w:t>.</w:t>
            </w:r>
            <w:r w:rsidRPr="00B00195">
              <w:rPr>
                <w:rStyle w:val="FootnoteReference"/>
                <w:rFonts w:ascii="Arial" w:hAnsi="Arial" w:cs="Arial"/>
              </w:rPr>
              <w:footnoteReference w:id="7"/>
            </w:r>
            <w:r w:rsidRPr="00B00195">
              <w:rPr>
                <w:rFonts w:ascii="Arial" w:hAnsi="Arial" w:cs="Arial"/>
              </w:rPr>
              <w:t xml:space="preserve"> </w:t>
            </w:r>
          </w:p>
        </w:tc>
      </w:tr>
    </w:tbl>
    <w:p w14:paraId="0F5E6572" w14:textId="77777777" w:rsidR="004B5EB8" w:rsidRDefault="004B5EB8" w:rsidP="004B5EB8">
      <w:pPr>
        <w:rPr>
          <w:rFonts w:ascii="Arial" w:hAnsi="Arial" w:cs="Arial"/>
          <w:szCs w:val="24"/>
        </w:rPr>
      </w:pPr>
    </w:p>
    <w:p w14:paraId="7B396332" w14:textId="27E9145B" w:rsidR="00EE66DF" w:rsidRPr="004B5EB8" w:rsidRDefault="00EE66DF" w:rsidP="004B5EB8">
      <w:pPr>
        <w:rPr>
          <w:rFonts w:ascii="Arial" w:hAnsi="Arial" w:cs="Arial"/>
          <w:szCs w:val="24"/>
        </w:rPr>
        <w:sectPr w:rsidR="00EE66DF" w:rsidRPr="004B5EB8" w:rsidSect="00696B68">
          <w:footnotePr>
            <w:numFmt w:val="chicago"/>
          </w:footnotePr>
          <w:type w:val="continuous"/>
          <w:pgSz w:w="11908" w:h="16833"/>
          <w:pgMar w:top="1276" w:right="964" w:bottom="1418" w:left="851" w:header="238" w:footer="720" w:gutter="0"/>
          <w:cols w:space="720"/>
          <w:noEndnote/>
          <w:docGrid w:linePitch="326"/>
        </w:sectPr>
      </w:pPr>
      <w:r>
        <w:rPr>
          <w:rFonts w:ascii="Arial" w:hAnsi="Arial" w:cs="Arial"/>
          <w:szCs w:val="24"/>
        </w:rPr>
        <w:t xml:space="preserve">If you have any questions about the data above, please contact the Policy </w:t>
      </w:r>
      <w:r w:rsidR="00F44CCE">
        <w:rPr>
          <w:rFonts w:ascii="Arial" w:hAnsi="Arial" w:cs="Arial"/>
          <w:szCs w:val="24"/>
        </w:rPr>
        <w:t>Team at</w:t>
      </w:r>
      <w:r>
        <w:rPr>
          <w:rFonts w:ascii="Arial" w:hAnsi="Arial" w:cs="Arial"/>
          <w:szCs w:val="24"/>
        </w:rPr>
        <w:t xml:space="preserve"> </w:t>
      </w:r>
      <w:hyperlink r:id="rId13" w:history="1">
        <w:r w:rsidRPr="002B7C8A">
          <w:rPr>
            <w:rStyle w:val="Hyperlink"/>
            <w:rFonts w:ascii="Arial" w:hAnsi="Arial" w:cs="Arial"/>
            <w:szCs w:val="24"/>
          </w:rPr>
          <w:t>policyteam@testvalley.gov.uk</w:t>
        </w:r>
      </w:hyperlink>
      <w:r>
        <w:rPr>
          <w:rFonts w:ascii="Arial" w:hAnsi="Arial" w:cs="Arial"/>
          <w:szCs w:val="24"/>
        </w:rPr>
        <w:t xml:space="preserve"> </w:t>
      </w:r>
    </w:p>
    <w:p w14:paraId="3B081767" w14:textId="77777777" w:rsidR="00CC0F1B" w:rsidRPr="00885CD9" w:rsidRDefault="00CC0F1B" w:rsidP="005046DF">
      <w:pPr>
        <w:rPr>
          <w:b/>
          <w:sz w:val="44"/>
        </w:rPr>
      </w:pPr>
    </w:p>
    <w:sectPr w:rsidR="00CC0F1B" w:rsidRPr="00885CD9" w:rsidSect="00885C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9B241" w14:textId="77777777" w:rsidR="000E421A" w:rsidRDefault="000E421A" w:rsidP="00885CD9">
      <w:r>
        <w:separator/>
      </w:r>
    </w:p>
  </w:endnote>
  <w:endnote w:type="continuationSeparator" w:id="0">
    <w:p w14:paraId="3E7BE9A5" w14:textId="77777777" w:rsidR="000E421A" w:rsidRDefault="000E421A" w:rsidP="00885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45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53588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22AA79" w14:textId="66F20DF9" w:rsidR="00575BE5" w:rsidRDefault="00575BE5">
        <w:pPr>
          <w:pStyle w:val="Footer"/>
          <w:jc w:val="right"/>
        </w:pPr>
        <w:r>
          <w:rPr>
            <w:rFonts w:ascii="Verdana" w:eastAsia="Verdana" w:hAnsi="Verdana" w:cs="Verdana"/>
            <w:noProof/>
            <w:color w:val="000000"/>
            <w:sz w:val="16"/>
          </w:rPr>
          <w:drawing>
            <wp:anchor distT="0" distB="0" distL="114300" distR="114300" simplePos="0" relativeHeight="251659264" behindDoc="0" locked="0" layoutInCell="1" allowOverlap="1" wp14:anchorId="188DC7DA" wp14:editId="36F0F9C3">
              <wp:simplePos x="0" y="0"/>
              <wp:positionH relativeFrom="margin">
                <wp:posOffset>-397856</wp:posOffset>
              </wp:positionH>
              <wp:positionV relativeFrom="bottomMargin">
                <wp:align>top</wp:align>
              </wp:positionV>
              <wp:extent cx="2732405" cy="723265"/>
              <wp:effectExtent l="0" t="0" r="0" b="635"/>
              <wp:wrapSquare wrapText="bothSides"/>
              <wp:docPr id="1158574582" name="Picture 1158574582" descr="New TVBC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New TVBC logo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73240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22AAF2" w14:textId="2AADC1D7" w:rsidR="00575BE5" w:rsidRDefault="00575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E7091" w14:textId="77777777" w:rsidR="000E421A" w:rsidRDefault="000E421A" w:rsidP="00885CD9">
      <w:r>
        <w:separator/>
      </w:r>
    </w:p>
  </w:footnote>
  <w:footnote w:type="continuationSeparator" w:id="0">
    <w:p w14:paraId="0DEAA4C3" w14:textId="77777777" w:rsidR="000E421A" w:rsidRDefault="000E421A" w:rsidP="00885CD9">
      <w:r>
        <w:continuationSeparator/>
      </w:r>
    </w:p>
  </w:footnote>
  <w:footnote w:id="1">
    <w:p w14:paraId="24FE7C5C" w14:textId="77777777" w:rsidR="00F76067" w:rsidRDefault="00F76067" w:rsidP="00F76067">
      <w:pPr>
        <w:pStyle w:val="FootnoteText"/>
      </w:pPr>
      <w:r>
        <w:rPr>
          <w:rStyle w:val="FootnoteReference"/>
        </w:rPr>
        <w:footnoteRef/>
      </w:r>
      <w:r w:rsidRPr="00EE66DF">
        <w:rPr>
          <w:rFonts w:ascii="Arial" w:hAnsi="Arial" w:cs="Arial"/>
        </w:rPr>
        <w:t xml:space="preserve">For more information on the Equality Act, and our duties under it, please visit </w:t>
      </w:r>
      <w:hyperlink r:id="rId1" w:history="1">
        <w:r w:rsidRPr="00EE66DF">
          <w:rPr>
            <w:rStyle w:val="Hyperlink"/>
            <w:rFonts w:ascii="Arial" w:hAnsi="Arial" w:cs="Arial"/>
          </w:rPr>
          <w:t>Public Sector Equality Duty: guidance for public authorities - GOV.UK</w:t>
        </w:r>
      </w:hyperlink>
    </w:p>
  </w:footnote>
  <w:footnote w:id="2">
    <w:p w14:paraId="69729EBC" w14:textId="3CDDC5A5" w:rsidR="00B52864" w:rsidRDefault="00B52864">
      <w:pPr>
        <w:pStyle w:val="FootnoteText"/>
      </w:pPr>
      <w:r w:rsidRPr="00B90ADE">
        <w:rPr>
          <w:rStyle w:val="FootnoteReference"/>
          <w:sz w:val="6"/>
          <w:szCs w:val="6"/>
        </w:rPr>
        <w:footnoteRef/>
      </w:r>
      <w:r w:rsidR="00B90ADE" w:rsidRPr="00B90ADE">
        <w:rPr>
          <w:sz w:val="6"/>
          <w:szCs w:val="6"/>
        </w:rPr>
        <w:t xml:space="preserve"> </w:t>
      </w:r>
    </w:p>
  </w:footnote>
  <w:footnote w:id="3">
    <w:p w14:paraId="77860A96" w14:textId="77777777" w:rsidR="00976EF7" w:rsidRPr="000B5E45" w:rsidRDefault="00976EF7" w:rsidP="00B52864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vertAlign w:val="superscript"/>
        </w:rPr>
        <w:t xml:space="preserve">1 </w:t>
      </w:r>
      <w:r>
        <w:rPr>
          <w:rFonts w:ascii="Arial" w:hAnsi="Arial" w:cs="Arial"/>
          <w:sz w:val="20"/>
        </w:rPr>
        <w:t xml:space="preserve">2025 </w:t>
      </w:r>
      <w:r w:rsidRPr="1F6C3FD5">
        <w:rPr>
          <w:rFonts w:ascii="Arial" w:hAnsi="Arial" w:cs="Arial"/>
          <w:sz w:val="20"/>
        </w:rPr>
        <w:t xml:space="preserve">Small Area Population Forecast, </w:t>
      </w:r>
      <w:r>
        <w:rPr>
          <w:rFonts w:ascii="Arial" w:hAnsi="Arial" w:cs="Arial"/>
          <w:sz w:val="20"/>
        </w:rPr>
        <w:t xml:space="preserve">Hampshire County Council, </w:t>
      </w:r>
      <w:r w:rsidRPr="1F6C3FD5">
        <w:rPr>
          <w:rFonts w:ascii="Arial" w:hAnsi="Arial" w:cs="Arial"/>
          <w:sz w:val="20"/>
        </w:rPr>
        <w:t xml:space="preserve">accessed </w:t>
      </w:r>
      <w:r>
        <w:rPr>
          <w:rFonts w:ascii="Arial" w:hAnsi="Arial" w:cs="Arial"/>
          <w:sz w:val="20"/>
        </w:rPr>
        <w:t xml:space="preserve">March 2025. Further information about these forecasts is available from the HCC website: </w:t>
      </w:r>
      <w:hyperlink r:id="rId2" w:history="1">
        <w:r w:rsidRPr="00706B11">
          <w:rPr>
            <w:rStyle w:val="Hyperlink"/>
            <w:rFonts w:ascii="Arial" w:hAnsi="Arial" w:cs="Arial"/>
            <w:sz w:val="20"/>
          </w:rPr>
          <w:t>https://www.hants.gov.uk/landplanningandenvironment/facts-figures/population/estimates-forecasts</w:t>
        </w:r>
      </w:hyperlink>
      <w:r>
        <w:rPr>
          <w:rFonts w:ascii="Arial" w:hAnsi="Arial" w:cs="Arial"/>
          <w:sz w:val="20"/>
        </w:rPr>
        <w:t xml:space="preserve"> </w:t>
      </w:r>
    </w:p>
  </w:footnote>
  <w:footnote w:id="4">
    <w:p w14:paraId="5B5A0CA1" w14:textId="54A63D8A" w:rsidR="00976EF7" w:rsidRPr="00340AFC" w:rsidRDefault="00976EF7" w:rsidP="000B5E45">
      <w:pPr>
        <w:rPr>
          <w:rFonts w:ascii="Arial" w:hAnsi="Arial" w:cs="Arial"/>
          <w:sz w:val="20"/>
        </w:rPr>
      </w:pPr>
      <w:r w:rsidRPr="1F6C3FD5">
        <w:rPr>
          <w:rStyle w:val="FootnoteReference"/>
          <w:rFonts w:ascii="Arial" w:hAnsi="Arial" w:cs="Arial"/>
          <w:sz w:val="20"/>
        </w:rPr>
        <w:footnoteRef/>
      </w:r>
      <w:r w:rsidRPr="1F6C3FD5">
        <w:rPr>
          <w:rFonts w:ascii="Arial" w:hAnsi="Arial" w:cs="Arial"/>
          <w:sz w:val="20"/>
        </w:rPr>
        <w:t xml:space="preserve"> </w:t>
      </w:r>
      <w:r w:rsidRPr="00340AFC">
        <w:rPr>
          <w:rFonts w:ascii="Arial" w:hAnsi="Arial" w:cs="Arial"/>
          <w:sz w:val="20"/>
        </w:rPr>
        <w:t xml:space="preserve">Census 2021 </w:t>
      </w:r>
    </w:p>
  </w:footnote>
  <w:footnote w:id="5">
    <w:p w14:paraId="37A428AD" w14:textId="08B2DB2C" w:rsidR="00976EF7" w:rsidRDefault="00976EF7">
      <w:pPr>
        <w:pStyle w:val="FootnoteText"/>
      </w:pPr>
      <w:r w:rsidRPr="00340AFC">
        <w:rPr>
          <w:rStyle w:val="FootnoteReference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Pr="00340AFC">
        <w:rPr>
          <w:rFonts w:ascii="Arial" w:hAnsi="Arial" w:cs="Arial"/>
        </w:rPr>
        <w:t xml:space="preserve">Hampshire County Council Ethnic Minority and Traveller Achievement Service data, 2022. </w:t>
      </w:r>
      <w:hyperlink r:id="rId3" w:history="1">
        <w:r w:rsidRPr="00706B11">
          <w:rPr>
            <w:rStyle w:val="Hyperlink"/>
            <w:rFonts w:ascii="Arial" w:hAnsi="Arial" w:cs="Arial"/>
          </w:rPr>
          <w:t>https://www.hants.gov.uk/educationandlearning/emtas/data</w:t>
        </w:r>
      </w:hyperlink>
      <w:r>
        <w:rPr>
          <w:rFonts w:ascii="Arial" w:hAnsi="Arial" w:cs="Arial"/>
        </w:rPr>
        <w:t xml:space="preserve"> </w:t>
      </w:r>
    </w:p>
  </w:footnote>
  <w:footnote w:id="6">
    <w:p w14:paraId="45264ED7" w14:textId="15DC9C88" w:rsidR="00976EF7" w:rsidRPr="005046DF" w:rsidRDefault="00976EF7">
      <w:pPr>
        <w:pStyle w:val="FootnoteText"/>
        <w:rPr>
          <w:rFonts w:ascii="Arial" w:hAnsi="Arial" w:cs="Arial"/>
        </w:rPr>
      </w:pPr>
      <w:r w:rsidRPr="00A30743">
        <w:rPr>
          <w:rStyle w:val="FootnoteReference"/>
          <w:rFonts w:ascii="Arial" w:hAnsi="Arial" w:cs="Arial"/>
        </w:rPr>
        <w:footnoteRef/>
      </w:r>
      <w:r w:rsidRPr="00A30743">
        <w:rPr>
          <w:rFonts w:ascii="Arial" w:hAnsi="Arial" w:cs="Arial"/>
        </w:rPr>
        <w:t xml:space="preserve"> The English Index of Multiple Deprivation (IMD) 2019. Accessed Ma</w:t>
      </w:r>
      <w:r>
        <w:rPr>
          <w:rFonts w:ascii="Arial" w:hAnsi="Arial" w:cs="Arial"/>
        </w:rPr>
        <w:t>rch 2024</w:t>
      </w:r>
      <w:r w:rsidRPr="00A30743">
        <w:rPr>
          <w:rFonts w:ascii="Arial" w:hAnsi="Arial" w:cs="Arial"/>
        </w:rPr>
        <w:t xml:space="preserve">: </w:t>
      </w:r>
      <w:hyperlink r:id="rId4" w:history="1">
        <w:r w:rsidRPr="00A30743">
          <w:rPr>
            <w:rStyle w:val="Hyperlink"/>
            <w:rFonts w:ascii="Arial" w:hAnsi="Arial" w:cs="Arial"/>
          </w:rPr>
          <w:t>http://dclgapps.communities.gov.uk/imd/iod_index.html</w:t>
        </w:r>
      </w:hyperlink>
    </w:p>
  </w:footnote>
  <w:footnote w:id="7">
    <w:p w14:paraId="206CB896" w14:textId="05430B6C" w:rsidR="00976EF7" w:rsidRPr="00DF74EF" w:rsidRDefault="00976EF7">
      <w:pPr>
        <w:pStyle w:val="FootnoteText"/>
        <w:rPr>
          <w:rFonts w:ascii="Arial" w:hAnsi="Arial" w:cs="Arial"/>
          <w:color w:val="0000FF"/>
          <w:u w:val="single"/>
        </w:rPr>
      </w:pPr>
      <w:r w:rsidRPr="00A30743">
        <w:rPr>
          <w:rStyle w:val="FootnoteReference"/>
          <w:rFonts w:ascii="Arial" w:hAnsi="Arial" w:cs="Arial"/>
        </w:rPr>
        <w:footnoteRef/>
      </w:r>
      <w:r w:rsidRPr="00A3074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December 2022 Annual Population Survey. Accessed March 2024: </w:t>
      </w:r>
      <w:hyperlink r:id="rId5" w:history="1">
        <w:r w:rsidRPr="00DF74EF">
          <w:rPr>
            <w:rStyle w:val="Hyperlink"/>
            <w:rFonts w:ascii="Arial" w:hAnsi="Arial" w:cs="Arial"/>
          </w:rPr>
          <w:t>https://www.ons.gov.uk/employmentandlabourmarket/peopleinwork/employmentandemployeetypes/methodologies/annualpopulationsurveyapsqmi</w:t>
        </w:r>
      </w:hyperlink>
      <w:r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933F1" w14:textId="6A3D562C" w:rsidR="00575BE5" w:rsidRDefault="00575BE5">
    <w:pPr>
      <w:pStyle w:val="Header"/>
      <w:jc w:val="right"/>
    </w:pPr>
  </w:p>
  <w:p w14:paraId="27028858" w14:textId="77777777" w:rsidR="00575BE5" w:rsidRDefault="00575B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1793"/>
    <w:multiLevelType w:val="hybridMultilevel"/>
    <w:tmpl w:val="996A1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D18D3"/>
    <w:multiLevelType w:val="hybridMultilevel"/>
    <w:tmpl w:val="3A765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B03E7"/>
    <w:multiLevelType w:val="hybridMultilevel"/>
    <w:tmpl w:val="ECB435C4"/>
    <w:lvl w:ilvl="0" w:tplc="7186AC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10363"/>
    <w:multiLevelType w:val="hybridMultilevel"/>
    <w:tmpl w:val="BE2086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F0E86"/>
    <w:multiLevelType w:val="hybridMultilevel"/>
    <w:tmpl w:val="468E3A26"/>
    <w:lvl w:ilvl="0" w:tplc="778463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D5955"/>
    <w:multiLevelType w:val="hybridMultilevel"/>
    <w:tmpl w:val="AF467B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4B001E"/>
    <w:multiLevelType w:val="hybridMultilevel"/>
    <w:tmpl w:val="63704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33D94"/>
    <w:multiLevelType w:val="hybridMultilevel"/>
    <w:tmpl w:val="11B6F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802BF"/>
    <w:multiLevelType w:val="hybridMultilevel"/>
    <w:tmpl w:val="5ACA818E"/>
    <w:lvl w:ilvl="0" w:tplc="CE22A74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2F47AD"/>
    <w:multiLevelType w:val="hybridMultilevel"/>
    <w:tmpl w:val="F6547EF6"/>
    <w:lvl w:ilvl="0" w:tplc="7186AC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13C18"/>
    <w:multiLevelType w:val="hybridMultilevel"/>
    <w:tmpl w:val="3BF213F8"/>
    <w:lvl w:ilvl="0" w:tplc="6C9ABF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3196B"/>
    <w:multiLevelType w:val="hybridMultilevel"/>
    <w:tmpl w:val="AE4E6A1A"/>
    <w:lvl w:ilvl="0" w:tplc="7186AC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9316989">
    <w:abstractNumId w:val="11"/>
  </w:num>
  <w:num w:numId="2" w16cid:durableId="1416128305">
    <w:abstractNumId w:val="9"/>
  </w:num>
  <w:num w:numId="3" w16cid:durableId="1331718156">
    <w:abstractNumId w:val="2"/>
  </w:num>
  <w:num w:numId="4" w16cid:durableId="59981818">
    <w:abstractNumId w:val="5"/>
  </w:num>
  <w:num w:numId="5" w16cid:durableId="1042443045">
    <w:abstractNumId w:val="3"/>
  </w:num>
  <w:num w:numId="6" w16cid:durableId="1791314217">
    <w:abstractNumId w:val="8"/>
  </w:num>
  <w:num w:numId="7" w16cid:durableId="1824852792">
    <w:abstractNumId w:val="7"/>
  </w:num>
  <w:num w:numId="8" w16cid:durableId="799149223">
    <w:abstractNumId w:val="1"/>
  </w:num>
  <w:num w:numId="9" w16cid:durableId="1120294461">
    <w:abstractNumId w:val="4"/>
  </w:num>
  <w:num w:numId="10" w16cid:durableId="950668980">
    <w:abstractNumId w:val="10"/>
  </w:num>
  <w:num w:numId="11" w16cid:durableId="1871071837">
    <w:abstractNumId w:val="0"/>
  </w:num>
  <w:num w:numId="12" w16cid:durableId="19872023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D9"/>
    <w:rsid w:val="00015798"/>
    <w:rsid w:val="00020217"/>
    <w:rsid w:val="0002620B"/>
    <w:rsid w:val="00034516"/>
    <w:rsid w:val="0004143B"/>
    <w:rsid w:val="00053464"/>
    <w:rsid w:val="00065CE1"/>
    <w:rsid w:val="00067792"/>
    <w:rsid w:val="000A4E17"/>
    <w:rsid w:val="000B5E45"/>
    <w:rsid w:val="000D46B7"/>
    <w:rsid w:val="000E421A"/>
    <w:rsid w:val="000E5857"/>
    <w:rsid w:val="0010476F"/>
    <w:rsid w:val="00104B5B"/>
    <w:rsid w:val="00124E94"/>
    <w:rsid w:val="0013579E"/>
    <w:rsid w:val="00146B37"/>
    <w:rsid w:val="00156B5A"/>
    <w:rsid w:val="00177339"/>
    <w:rsid w:val="0019500B"/>
    <w:rsid w:val="001B2486"/>
    <w:rsid w:val="001B55A6"/>
    <w:rsid w:val="001C317E"/>
    <w:rsid w:val="001C3A9D"/>
    <w:rsid w:val="001C6B35"/>
    <w:rsid w:val="001D7D41"/>
    <w:rsid w:val="001F38DC"/>
    <w:rsid w:val="00205DCD"/>
    <w:rsid w:val="00261A27"/>
    <w:rsid w:val="002623B3"/>
    <w:rsid w:val="002665F8"/>
    <w:rsid w:val="00274ED4"/>
    <w:rsid w:val="00292767"/>
    <w:rsid w:val="002B2CA2"/>
    <w:rsid w:val="002C02CC"/>
    <w:rsid w:val="00310366"/>
    <w:rsid w:val="003403F7"/>
    <w:rsid w:val="00340AFC"/>
    <w:rsid w:val="00387CE3"/>
    <w:rsid w:val="00396C5E"/>
    <w:rsid w:val="003D74B0"/>
    <w:rsid w:val="003F4B51"/>
    <w:rsid w:val="00407733"/>
    <w:rsid w:val="00420D06"/>
    <w:rsid w:val="00480620"/>
    <w:rsid w:val="00492FA7"/>
    <w:rsid w:val="004B12A8"/>
    <w:rsid w:val="004B5EB8"/>
    <w:rsid w:val="004D25F6"/>
    <w:rsid w:val="004D3637"/>
    <w:rsid w:val="004D6736"/>
    <w:rsid w:val="004F271A"/>
    <w:rsid w:val="00502C42"/>
    <w:rsid w:val="005046DF"/>
    <w:rsid w:val="0051799E"/>
    <w:rsid w:val="00552511"/>
    <w:rsid w:val="005563CC"/>
    <w:rsid w:val="00575BE5"/>
    <w:rsid w:val="005D6432"/>
    <w:rsid w:val="005F3065"/>
    <w:rsid w:val="005F6C4D"/>
    <w:rsid w:val="00623A04"/>
    <w:rsid w:val="00626591"/>
    <w:rsid w:val="0064743E"/>
    <w:rsid w:val="00661DA1"/>
    <w:rsid w:val="00696B68"/>
    <w:rsid w:val="006B346B"/>
    <w:rsid w:val="006C3211"/>
    <w:rsid w:val="006F1550"/>
    <w:rsid w:val="007206BD"/>
    <w:rsid w:val="00724AB2"/>
    <w:rsid w:val="00725BE6"/>
    <w:rsid w:val="007714A8"/>
    <w:rsid w:val="00777669"/>
    <w:rsid w:val="0078044C"/>
    <w:rsid w:val="00787D2C"/>
    <w:rsid w:val="00791790"/>
    <w:rsid w:val="007964AF"/>
    <w:rsid w:val="007A0982"/>
    <w:rsid w:val="007C0957"/>
    <w:rsid w:val="007C553C"/>
    <w:rsid w:val="007F532F"/>
    <w:rsid w:val="00824566"/>
    <w:rsid w:val="00852078"/>
    <w:rsid w:val="0086085B"/>
    <w:rsid w:val="00885CD9"/>
    <w:rsid w:val="00894FB4"/>
    <w:rsid w:val="008B3439"/>
    <w:rsid w:val="008B5C4E"/>
    <w:rsid w:val="008C4620"/>
    <w:rsid w:val="008D112E"/>
    <w:rsid w:val="008E0390"/>
    <w:rsid w:val="008F62EC"/>
    <w:rsid w:val="00902784"/>
    <w:rsid w:val="00930305"/>
    <w:rsid w:val="00944689"/>
    <w:rsid w:val="00956EDD"/>
    <w:rsid w:val="00973B4F"/>
    <w:rsid w:val="00976EF7"/>
    <w:rsid w:val="00996A8C"/>
    <w:rsid w:val="009B6995"/>
    <w:rsid w:val="009F1EBC"/>
    <w:rsid w:val="00A00E0F"/>
    <w:rsid w:val="00A021C3"/>
    <w:rsid w:val="00A13148"/>
    <w:rsid w:val="00A30743"/>
    <w:rsid w:val="00A36311"/>
    <w:rsid w:val="00AA49CC"/>
    <w:rsid w:val="00B00195"/>
    <w:rsid w:val="00B03C99"/>
    <w:rsid w:val="00B07207"/>
    <w:rsid w:val="00B35169"/>
    <w:rsid w:val="00B52864"/>
    <w:rsid w:val="00B84A5A"/>
    <w:rsid w:val="00B90ADE"/>
    <w:rsid w:val="00B95F35"/>
    <w:rsid w:val="00BB0B64"/>
    <w:rsid w:val="00BD31E0"/>
    <w:rsid w:val="00BD432C"/>
    <w:rsid w:val="00BD60A4"/>
    <w:rsid w:val="00BF0C72"/>
    <w:rsid w:val="00BF3597"/>
    <w:rsid w:val="00BF3C17"/>
    <w:rsid w:val="00C204CB"/>
    <w:rsid w:val="00C5501A"/>
    <w:rsid w:val="00C672B6"/>
    <w:rsid w:val="00C67D59"/>
    <w:rsid w:val="00C75F8D"/>
    <w:rsid w:val="00CB15D9"/>
    <w:rsid w:val="00CC0F1B"/>
    <w:rsid w:val="00D549F8"/>
    <w:rsid w:val="00D756E6"/>
    <w:rsid w:val="00D83DA3"/>
    <w:rsid w:val="00DA63E9"/>
    <w:rsid w:val="00DE6D23"/>
    <w:rsid w:val="00DF74EF"/>
    <w:rsid w:val="00DF7D72"/>
    <w:rsid w:val="00E100E8"/>
    <w:rsid w:val="00E216C6"/>
    <w:rsid w:val="00E46110"/>
    <w:rsid w:val="00E57A4A"/>
    <w:rsid w:val="00E9128A"/>
    <w:rsid w:val="00E96374"/>
    <w:rsid w:val="00EB7B2C"/>
    <w:rsid w:val="00EE66DF"/>
    <w:rsid w:val="00F44CCE"/>
    <w:rsid w:val="00F64165"/>
    <w:rsid w:val="00F76067"/>
    <w:rsid w:val="00F91D0B"/>
    <w:rsid w:val="00FA16A7"/>
    <w:rsid w:val="00FA3DAE"/>
    <w:rsid w:val="00FB3F68"/>
    <w:rsid w:val="00FE5A23"/>
    <w:rsid w:val="1F6C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47E3C"/>
  <w15:docId w15:val="{B0746AB5-A34D-4B62-9D3E-442AF7B4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8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5C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CD9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rsid w:val="00885C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5CD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85CD9"/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88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85CD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5CD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nhideWhenUsed/>
    <w:rsid w:val="00885CD9"/>
    <w:rPr>
      <w:vertAlign w:val="superscript"/>
    </w:rPr>
  </w:style>
  <w:style w:type="character" w:styleId="Hyperlink">
    <w:name w:val="Hyperlink"/>
    <w:rsid w:val="00885CD9"/>
    <w:rPr>
      <w:color w:val="0000FF"/>
      <w:u w:val="single"/>
    </w:rPr>
  </w:style>
  <w:style w:type="paragraph" w:styleId="NoSpacing">
    <w:name w:val="No Spacing"/>
    <w:uiPriority w:val="1"/>
    <w:qFormat/>
    <w:rsid w:val="00885C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DA63E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B15D9"/>
    <w:rPr>
      <w:color w:val="800080" w:themeColor="followedHyperlink"/>
      <w:u w:val="single"/>
    </w:rPr>
  </w:style>
  <w:style w:type="paragraph" w:customStyle="1" w:styleId="Default">
    <w:name w:val="Default"/>
    <w:rsid w:val="00C672B6"/>
    <w:pPr>
      <w:autoSpaceDE w:val="0"/>
      <w:autoSpaceDN w:val="0"/>
      <w:adjustRightInd w:val="0"/>
      <w:spacing w:after="0" w:line="240" w:lineRule="auto"/>
    </w:pPr>
    <w:rPr>
      <w:rFonts w:ascii="HelveticaNeueLT Pro 45 Lt" w:hAnsi="HelveticaNeueLT Pro 45 Lt" w:cs="HelveticaNeueLT Pro 45 Lt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C672B6"/>
    <w:pPr>
      <w:spacing w:line="201" w:lineRule="atLeast"/>
    </w:pPr>
    <w:rPr>
      <w:rFonts w:cstheme="minorBidi"/>
      <w:color w:val="au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2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20B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046D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F3065"/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575B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E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75B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E5"/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743">
          <w:marLeft w:val="1166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licyteam@testvalley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ants.gov.uk/educationandlearning/emtas/data" TargetMode="External"/><Relationship Id="rId2" Type="http://schemas.openxmlformats.org/officeDocument/2006/relationships/hyperlink" Target="https://www.hants.gov.uk/landplanningandenvironment/facts-figures/population/estimates-forecasts" TargetMode="External"/><Relationship Id="rId1" Type="http://schemas.openxmlformats.org/officeDocument/2006/relationships/hyperlink" Target="https://www.gov.uk/government/publications/public-sector-equality-duty-guidance-for-public-authorities/public-sector-equality-duty-guidance-for-public-authorities" TargetMode="External"/><Relationship Id="rId5" Type="http://schemas.openxmlformats.org/officeDocument/2006/relationships/hyperlink" Target="https://www.ons.gov.uk/employmentandlabourmarket/peopleinwork/employmentandemployeetypes/methodologies/annualpopulationsurveyapsqmi" TargetMode="External"/><Relationship Id="rId4" Type="http://schemas.openxmlformats.org/officeDocument/2006/relationships/hyperlink" Target="http://dclgapps.communities.gov.uk/imd/iod_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B29690CEA3846AB74AA7FC8E8A48B" ma:contentTypeVersion="64" ma:contentTypeDescription="Create a new document." ma:contentTypeScope="" ma:versionID="8921dcdc57632e8a4c00f6e5b5e8853f">
  <xsd:schema xmlns:xsd="http://www.w3.org/2001/XMLSchema" xmlns:xs="http://www.w3.org/2001/XMLSchema" xmlns:p="http://schemas.microsoft.com/office/2006/metadata/properties" xmlns:ns2="e6ad8fa6-428b-4491-a192-05c2380318af" targetNamespace="http://schemas.microsoft.com/office/2006/metadata/properties" ma:root="true" ma:fieldsID="f5f4b69a6700e9bec7fe73c2617230af" ns2:_="">
    <xsd:import namespace="e6ad8fa6-428b-4491-a192-05c2380318a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d8fa6-428b-4491-a192-05c2380318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867E44-EB26-4B6D-8157-D88DB73782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68817C-EEE3-407C-A43E-4E2CCE77D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d8fa6-428b-4491-a192-05c238031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FCBA80-217C-46B0-907B-0CAB41ACB8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35485D-AE81-43B2-B2E0-3B4A0F37DCCC}">
  <ds:schemaRefs>
    <ds:schemaRef ds:uri="e6ad8fa6-428b-4491-a192-05c2380318a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8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 Valley Borough Council</Company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Pritchard, Catherine</dc:creator>
  <cp:keywords/>
  <dc:description/>
  <cp:lastModifiedBy>Roberts, Leoni</cp:lastModifiedBy>
  <cp:revision>14</cp:revision>
  <cp:lastPrinted>2024-03-27T11:01:00Z</cp:lastPrinted>
  <dcterms:created xsi:type="dcterms:W3CDTF">2025-03-24T12:12:00Z</dcterms:created>
  <dcterms:modified xsi:type="dcterms:W3CDTF">2025-03-31T12:50:00Z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0x01010027DB29690CEA3846AB74AA7FC8E8A48B</vt:lpwstr>
  </property>
  <property fmtid="{D5CDD505-2E9C-101B-9397-08002B2CF9AE}" pid="3" name="dlc_EmailFrom">
    <vt:lpwstr/>
  </property>
  <property fmtid="{D5CDD505-2E9C-101B-9397-08002B2CF9AE}" pid="4" name="dlc_EmailBCC">
    <vt:lpwstr/>
  </property>
  <property fmtid="{D5CDD505-2E9C-101B-9397-08002B2CF9AE}" pid="5" name="dlc_EmailCC">
    <vt:lpwstr/>
  </property>
  <property fmtid="{D5CDD505-2E9C-101B-9397-08002B2CF9AE}" pid="6" name="dlc_EmailSubject">
    <vt:lpwstr/>
  </property>
  <property fmtid="{D5CDD505-2E9C-101B-9397-08002B2CF9AE}" pid="7" name="dlc_EmailTo">
    <vt:lpwstr/>
  </property>
</Properties>
</file>