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1A23B" w14:textId="5B2309E7" w:rsidR="00FB670C" w:rsidRDefault="00A7235C" w:rsidP="006C2068">
      <w:pPr>
        <w:rPr>
          <w:b/>
        </w:rPr>
      </w:pPr>
      <w:r w:rsidRPr="00A7235C">
        <w:rPr>
          <w:b/>
        </w:rPr>
        <w:t>Test Valley Borough Council</w:t>
      </w:r>
      <w:r>
        <w:rPr>
          <w:b/>
        </w:rPr>
        <w:t xml:space="preserve"> – Pavement </w:t>
      </w:r>
      <w:r w:rsidR="00593E79">
        <w:rPr>
          <w:b/>
        </w:rPr>
        <w:t>Licence – Business and Planning Act 2020</w:t>
      </w:r>
    </w:p>
    <w:p w14:paraId="1DD9891A" w14:textId="77777777" w:rsidR="00593E79" w:rsidRDefault="00593E79" w:rsidP="006C2068">
      <w:pPr>
        <w:rPr>
          <w:b/>
        </w:rPr>
      </w:pPr>
    </w:p>
    <w:p w14:paraId="3D6D71DA" w14:textId="1D55B03B" w:rsidR="00593E79" w:rsidRPr="00593E79" w:rsidRDefault="00593E79" w:rsidP="006C2068">
      <w:r w:rsidRPr="00593E79">
        <w:t xml:space="preserve">The </w:t>
      </w:r>
      <w:r>
        <w:t xml:space="preserve">Act </w:t>
      </w:r>
      <w:r w:rsidRPr="00593E79">
        <w:t>introduce</w:t>
      </w:r>
      <w:r w:rsidR="007E5C35">
        <w:t>d</w:t>
      </w:r>
      <w:r w:rsidRPr="00593E79">
        <w:t xml:space="preserve"> a new, temporary, fast-track process for businesses to obtain permission, in the form of a “pavement licence”</w:t>
      </w:r>
      <w:r w:rsidR="00472391">
        <w:t xml:space="preserve"> f</w:t>
      </w:r>
      <w:r w:rsidRPr="00593E79">
        <w:t>or the placement of furniture such as tables and chairs on the pavement outside their premises</w:t>
      </w:r>
      <w:r w:rsidR="006C2068">
        <w:t>.</w:t>
      </w:r>
      <w:r w:rsidRPr="00593E79">
        <w:t xml:space="preserve"> </w:t>
      </w:r>
      <w:r w:rsidR="00CE4B35" w:rsidRPr="00CE4B35">
        <w:t xml:space="preserve">The Levelling Up and Regeneration Act 2023 makes permanent the provisions set out in the Business and Planning Act with </w:t>
      </w:r>
      <w:proofErr w:type="gramStart"/>
      <w:r w:rsidR="00CE4B35" w:rsidRPr="00CE4B35">
        <w:t>a number of</w:t>
      </w:r>
      <w:proofErr w:type="gramEnd"/>
      <w:r w:rsidR="00CE4B35" w:rsidRPr="00CE4B35">
        <w:t xml:space="preserve"> changes. The Levelling Up and Regeneration Act introduces a standard fee cap for both new and renewals of licences as well as increased consultation and determination periods, lengthens the maximum duration of </w:t>
      </w:r>
      <w:r w:rsidR="006C2068">
        <w:t xml:space="preserve">licences and provides licensing </w:t>
      </w:r>
      <w:r w:rsidR="00CE4B35" w:rsidRPr="00CE4B35">
        <w:t>authorities with new powers to remove unlicenced furniture.</w:t>
      </w:r>
      <w:r w:rsidR="00CE4B35">
        <w:t xml:space="preserve"> </w:t>
      </w:r>
      <w:r w:rsidR="006C2068">
        <w:t xml:space="preserve">As at September 2025 </w:t>
      </w:r>
      <w:r w:rsidR="00CE4B35">
        <w:t>Test Valley Borough Council has decided there will be no fee</w:t>
      </w:r>
      <w:r w:rsidR="006C2068">
        <w:t xml:space="preserve"> for applying for a Pavement Licence. Any ne</w:t>
      </w:r>
      <w:r w:rsidR="00CE4B35">
        <w:t xml:space="preserve">w applications or renewals </w:t>
      </w:r>
      <w:r w:rsidR="00B9614F">
        <w:t xml:space="preserve">of Pavement Licences will be </w:t>
      </w:r>
      <w:r w:rsidR="00CE4B35">
        <w:t xml:space="preserve">granted for </w:t>
      </w:r>
      <w:r w:rsidR="006C2068">
        <w:t xml:space="preserve">a </w:t>
      </w:r>
      <w:r w:rsidR="00CE4B35">
        <w:t xml:space="preserve">period of </w:t>
      </w:r>
      <w:r w:rsidR="006C2068">
        <w:t>two</w:t>
      </w:r>
      <w:r w:rsidR="00CE4B35">
        <w:t xml:space="preserve"> year</w:t>
      </w:r>
      <w:r w:rsidR="006C2068">
        <w:t>s</w:t>
      </w:r>
      <w:r w:rsidR="00CE4B35">
        <w:t xml:space="preserve">.  </w:t>
      </w:r>
    </w:p>
    <w:p w14:paraId="093EBD9B" w14:textId="77777777" w:rsidR="00593E79" w:rsidRDefault="00593E79" w:rsidP="006C2068"/>
    <w:p w14:paraId="46FC9D61" w14:textId="77777777" w:rsidR="002B367B" w:rsidRPr="002B367B" w:rsidRDefault="002B367B" w:rsidP="006C2068">
      <w:pPr>
        <w:rPr>
          <w:b/>
          <w:color w:val="000000" w:themeColor="text1"/>
        </w:rPr>
      </w:pPr>
      <w:r w:rsidRPr="002B367B">
        <w:rPr>
          <w:b/>
          <w:color w:val="000000" w:themeColor="text1"/>
        </w:rPr>
        <w:t>Scope</w:t>
      </w:r>
    </w:p>
    <w:p w14:paraId="642E634F" w14:textId="77777777" w:rsidR="002B367B" w:rsidRPr="003433CC" w:rsidRDefault="002B367B" w:rsidP="006C2068">
      <w:pPr>
        <w:rPr>
          <w:color w:val="000000" w:themeColor="text1"/>
        </w:rPr>
      </w:pPr>
      <w:r w:rsidRPr="003433CC">
        <w:rPr>
          <w:color w:val="000000" w:themeColor="text1"/>
          <w:shd w:val="clear" w:color="auto" w:fill="FFFFFF"/>
        </w:rPr>
        <w:t xml:space="preserve">A pavement licence is a licence granted by the local authority, or deemed to have been granted, which allows the licence-holder to place removable furniture over certain highways adjacent to the premises in relation to which the application was made, for certain purposes. </w:t>
      </w:r>
    </w:p>
    <w:p w14:paraId="62A4BC11" w14:textId="77777777" w:rsidR="002B367B" w:rsidRPr="003433CC" w:rsidRDefault="002B367B" w:rsidP="006C2068">
      <w:pPr>
        <w:rPr>
          <w:color w:val="000000" w:themeColor="text1"/>
        </w:rPr>
      </w:pPr>
    </w:p>
    <w:p w14:paraId="64CFC75E" w14:textId="77777777" w:rsidR="002B367B" w:rsidRPr="002B367B" w:rsidRDefault="002B367B" w:rsidP="006C2068">
      <w:pPr>
        <w:rPr>
          <w:b/>
          <w:color w:val="000000" w:themeColor="text1"/>
        </w:rPr>
      </w:pPr>
      <w:r w:rsidRPr="002B367B">
        <w:rPr>
          <w:b/>
          <w:color w:val="000000" w:themeColor="text1"/>
        </w:rPr>
        <w:t>Eligible Businesses</w:t>
      </w:r>
    </w:p>
    <w:p w14:paraId="12205045" w14:textId="77777777" w:rsidR="002B367B" w:rsidRDefault="002B367B" w:rsidP="006C2068">
      <w:pPr>
        <w:rPr>
          <w:color w:val="000000" w:themeColor="text1"/>
        </w:rPr>
      </w:pPr>
      <w:r w:rsidRPr="003433CC">
        <w:rPr>
          <w:color w:val="000000" w:themeColor="text1"/>
        </w:rPr>
        <w:t>A business which uses (or proposes to use) premises for the sale of food or drink for consumption (on or off the premises) can apply for a licence. Businesses that are eligible include: public houses, cafes, bars, restaurants, snack bars, coffee shops, and ice cream parlours.</w:t>
      </w:r>
    </w:p>
    <w:p w14:paraId="7CB428DA" w14:textId="77777777" w:rsidR="002B367B" w:rsidRPr="003433CC" w:rsidRDefault="002B367B" w:rsidP="006C2068">
      <w:pPr>
        <w:rPr>
          <w:color w:val="000000" w:themeColor="text1"/>
        </w:rPr>
      </w:pPr>
    </w:p>
    <w:p w14:paraId="26901F78" w14:textId="77777777" w:rsidR="002B367B" w:rsidRPr="003433CC" w:rsidRDefault="002B367B" w:rsidP="006C2068">
      <w:pPr>
        <w:rPr>
          <w:color w:val="000000" w:themeColor="text1"/>
        </w:rPr>
      </w:pPr>
      <w:r w:rsidRPr="003433CC">
        <w:rPr>
          <w:color w:val="000000" w:themeColor="text1"/>
        </w:rPr>
        <w:t>A licence permits the business to use furniture placed on the highway to sell or serve food or drink and/or allow it to be used by people for consumption of food or drink supplied from, or in connection with the use of the premises.</w:t>
      </w:r>
    </w:p>
    <w:p w14:paraId="02140435" w14:textId="77777777" w:rsidR="002B367B" w:rsidRDefault="002B367B" w:rsidP="006C2068">
      <w:pPr>
        <w:rPr>
          <w:color w:val="000000" w:themeColor="text1"/>
        </w:rPr>
      </w:pPr>
    </w:p>
    <w:p w14:paraId="54F20EEA" w14:textId="77777777" w:rsidR="002B367B" w:rsidRPr="002B367B" w:rsidRDefault="002B367B" w:rsidP="006C2068">
      <w:pPr>
        <w:rPr>
          <w:b/>
          <w:color w:val="000000" w:themeColor="text1"/>
        </w:rPr>
      </w:pPr>
      <w:r w:rsidRPr="002B367B">
        <w:rPr>
          <w:b/>
          <w:color w:val="000000" w:themeColor="text1"/>
        </w:rPr>
        <w:t>Eligible Locations</w:t>
      </w:r>
    </w:p>
    <w:p w14:paraId="6533008C" w14:textId="0DF28CA8" w:rsidR="002B367B" w:rsidRPr="00B11643" w:rsidRDefault="002B367B" w:rsidP="006C2068">
      <w:pPr>
        <w:rPr>
          <w:color w:val="000000" w:themeColor="text1"/>
        </w:rPr>
      </w:pPr>
      <w:r w:rsidRPr="00B11643">
        <w:rPr>
          <w:color w:val="000000" w:themeColor="text1"/>
          <w:shd w:val="clear" w:color="auto" w:fill="FFFFFF"/>
        </w:rPr>
        <w:t>Licences can only be granted in respect of highways listed in section 115</w:t>
      </w:r>
      <w:proofErr w:type="gramStart"/>
      <w:r w:rsidRPr="00B11643">
        <w:rPr>
          <w:color w:val="000000" w:themeColor="text1"/>
          <w:shd w:val="clear" w:color="auto" w:fill="FFFFFF"/>
        </w:rPr>
        <w:t>A(</w:t>
      </w:r>
      <w:proofErr w:type="gramEnd"/>
      <w:r w:rsidRPr="00B11643">
        <w:rPr>
          <w:color w:val="000000" w:themeColor="text1"/>
          <w:shd w:val="clear" w:color="auto" w:fill="FFFFFF"/>
        </w:rPr>
        <w:t>1) Highways Act 1980. Generally, these are footpaths</w:t>
      </w:r>
      <w:r w:rsidR="004A13D9">
        <w:rPr>
          <w:color w:val="000000" w:themeColor="text1"/>
          <w:shd w:val="clear" w:color="auto" w:fill="FFFFFF"/>
        </w:rPr>
        <w:t>, footways and pavements</w:t>
      </w:r>
      <w:r w:rsidRPr="00B11643">
        <w:rPr>
          <w:color w:val="000000" w:themeColor="text1"/>
          <w:shd w:val="clear" w:color="auto" w:fill="FFFFFF"/>
        </w:rPr>
        <w:t xml:space="preserve"> restricted to pedestrians or are roads and places to which vehicle access is restricted or prohibited</w:t>
      </w:r>
      <w:r w:rsidR="004A13D9">
        <w:rPr>
          <w:color w:val="000000" w:themeColor="text1"/>
          <w:shd w:val="clear" w:color="auto" w:fill="FFFFFF"/>
        </w:rPr>
        <w:t xml:space="preserve"> e.g. (part) pedestrianised roads</w:t>
      </w:r>
      <w:r w:rsidRPr="00B11643">
        <w:rPr>
          <w:color w:val="000000" w:themeColor="text1"/>
          <w:shd w:val="clear" w:color="auto" w:fill="FFFFFF"/>
        </w:rPr>
        <w:t>. Highways maintained by Network Rail or over the Crown land are exempt (so a licence cannot be granted).</w:t>
      </w:r>
      <w:r w:rsidR="004A13D9">
        <w:rPr>
          <w:color w:val="000000" w:themeColor="text1"/>
          <w:shd w:val="clear" w:color="auto" w:fill="FFFFFF"/>
        </w:rPr>
        <w:t xml:space="preserve"> </w:t>
      </w:r>
    </w:p>
    <w:p w14:paraId="70A8EE06" w14:textId="77777777" w:rsidR="002B367B" w:rsidRPr="00B11643" w:rsidRDefault="002B367B" w:rsidP="006C2068">
      <w:pPr>
        <w:rPr>
          <w:color w:val="000000" w:themeColor="text1"/>
        </w:rPr>
      </w:pPr>
    </w:p>
    <w:p w14:paraId="1BC03CFD" w14:textId="77777777" w:rsidR="002B367B" w:rsidRPr="002B367B" w:rsidRDefault="002B367B" w:rsidP="006C2068">
      <w:pPr>
        <w:rPr>
          <w:b/>
          <w:color w:val="000000" w:themeColor="text1"/>
        </w:rPr>
      </w:pPr>
      <w:r w:rsidRPr="002B367B">
        <w:rPr>
          <w:b/>
          <w:color w:val="000000" w:themeColor="text1"/>
        </w:rPr>
        <w:t>Type of furniture permitted</w:t>
      </w:r>
    </w:p>
    <w:p w14:paraId="7DF01FA1" w14:textId="77777777" w:rsidR="002B367B" w:rsidRPr="003433CC" w:rsidRDefault="002B367B" w:rsidP="006C2068">
      <w:pPr>
        <w:rPr>
          <w:color w:val="000000" w:themeColor="text1"/>
        </w:rPr>
      </w:pPr>
      <w:r w:rsidRPr="003433CC">
        <w:rPr>
          <w:color w:val="000000" w:themeColor="text1"/>
        </w:rPr>
        <w:t>The furniture which may be used is:</w:t>
      </w:r>
    </w:p>
    <w:p w14:paraId="7FFA548D" w14:textId="77777777" w:rsidR="002B367B" w:rsidRPr="00B11643" w:rsidRDefault="002B367B" w:rsidP="006C2068">
      <w:pPr>
        <w:pStyle w:val="ListParagraph"/>
        <w:numPr>
          <w:ilvl w:val="0"/>
          <w:numId w:val="1"/>
        </w:numPr>
        <w:rPr>
          <w:rFonts w:eastAsia="Times New Roman"/>
          <w:color w:val="000000" w:themeColor="text1"/>
          <w:lang w:eastAsia="en-GB"/>
        </w:rPr>
      </w:pPr>
      <w:r w:rsidRPr="00B11643">
        <w:rPr>
          <w:rFonts w:eastAsia="Times New Roman"/>
          <w:color w:val="000000" w:themeColor="text1"/>
          <w:lang w:eastAsia="en-GB"/>
        </w:rPr>
        <w:t xml:space="preserve">counters or stalls for selling or serving food or </w:t>
      </w:r>
      <w:proofErr w:type="gramStart"/>
      <w:r w:rsidRPr="00B11643">
        <w:rPr>
          <w:rFonts w:eastAsia="Times New Roman"/>
          <w:color w:val="000000" w:themeColor="text1"/>
          <w:lang w:eastAsia="en-GB"/>
        </w:rPr>
        <w:t>drink;</w:t>
      </w:r>
      <w:proofErr w:type="gramEnd"/>
    </w:p>
    <w:p w14:paraId="418AA92C" w14:textId="77777777" w:rsidR="002B367B" w:rsidRPr="00B11643" w:rsidRDefault="002B367B" w:rsidP="006C2068">
      <w:pPr>
        <w:pStyle w:val="ListParagraph"/>
        <w:numPr>
          <w:ilvl w:val="0"/>
          <w:numId w:val="1"/>
        </w:numPr>
        <w:rPr>
          <w:rFonts w:eastAsia="Times New Roman"/>
          <w:color w:val="000000" w:themeColor="text1"/>
          <w:lang w:eastAsia="en-GB"/>
        </w:rPr>
      </w:pPr>
      <w:r w:rsidRPr="00B11643">
        <w:rPr>
          <w:rFonts w:eastAsia="Times New Roman"/>
          <w:color w:val="000000" w:themeColor="text1"/>
          <w:lang w:eastAsia="en-GB"/>
        </w:rPr>
        <w:t xml:space="preserve">tables, counters or shelves on which food or drink can be </w:t>
      </w:r>
      <w:proofErr w:type="gramStart"/>
      <w:r w:rsidRPr="00B11643">
        <w:rPr>
          <w:rFonts w:eastAsia="Times New Roman"/>
          <w:color w:val="000000" w:themeColor="text1"/>
          <w:lang w:eastAsia="en-GB"/>
        </w:rPr>
        <w:t>placed;</w:t>
      </w:r>
      <w:proofErr w:type="gramEnd"/>
    </w:p>
    <w:p w14:paraId="7F88D1E0" w14:textId="77777777" w:rsidR="002B367B" w:rsidRPr="00B11643" w:rsidRDefault="002B367B" w:rsidP="006C2068">
      <w:pPr>
        <w:pStyle w:val="ListParagraph"/>
        <w:numPr>
          <w:ilvl w:val="0"/>
          <w:numId w:val="1"/>
        </w:numPr>
        <w:rPr>
          <w:rFonts w:eastAsia="Times New Roman"/>
          <w:color w:val="000000" w:themeColor="text1"/>
          <w:lang w:eastAsia="en-GB"/>
        </w:rPr>
      </w:pPr>
      <w:r w:rsidRPr="00B11643">
        <w:rPr>
          <w:rFonts w:eastAsia="Times New Roman"/>
          <w:color w:val="000000" w:themeColor="text1"/>
          <w:lang w:eastAsia="en-GB"/>
        </w:rPr>
        <w:t>chairs, benches or other forms of seating; and</w:t>
      </w:r>
    </w:p>
    <w:p w14:paraId="3EE876DC" w14:textId="77777777" w:rsidR="002B367B" w:rsidRPr="00B11643" w:rsidRDefault="002B367B" w:rsidP="006C2068">
      <w:pPr>
        <w:pStyle w:val="ListParagraph"/>
        <w:numPr>
          <w:ilvl w:val="0"/>
          <w:numId w:val="1"/>
        </w:numPr>
        <w:rPr>
          <w:rFonts w:eastAsia="Times New Roman"/>
          <w:color w:val="000000" w:themeColor="text1"/>
          <w:lang w:eastAsia="en-GB"/>
        </w:rPr>
      </w:pPr>
      <w:r w:rsidRPr="00B11643">
        <w:rPr>
          <w:rFonts w:eastAsia="Times New Roman"/>
          <w:color w:val="000000" w:themeColor="text1"/>
          <w:lang w:eastAsia="en-GB"/>
        </w:rPr>
        <w:t>umbrellas, barriers, heaters and other articles used in connection with the outdoor consumption of food or drink.</w:t>
      </w:r>
    </w:p>
    <w:p w14:paraId="7724B2C1" w14:textId="77777777" w:rsidR="002B367B" w:rsidRDefault="002B367B" w:rsidP="006C2068">
      <w:pPr>
        <w:rPr>
          <w:color w:val="000000" w:themeColor="text1"/>
        </w:rPr>
      </w:pPr>
    </w:p>
    <w:p w14:paraId="55EA9856" w14:textId="77777777" w:rsidR="002B367B" w:rsidRPr="003433CC" w:rsidRDefault="002B367B" w:rsidP="006C2068">
      <w:pPr>
        <w:rPr>
          <w:color w:val="000000" w:themeColor="text1"/>
        </w:rPr>
      </w:pPr>
      <w:r w:rsidRPr="003433CC">
        <w:rPr>
          <w:color w:val="000000" w:themeColor="text1"/>
        </w:rPr>
        <w:t>This furniture is required to be removable</w:t>
      </w:r>
      <w:r>
        <w:rPr>
          <w:color w:val="000000" w:themeColor="text1"/>
        </w:rPr>
        <w:t>, which</w:t>
      </w:r>
      <w:r w:rsidRPr="003433CC">
        <w:rPr>
          <w:color w:val="000000" w:themeColor="text1"/>
        </w:rPr>
        <w:t xml:space="preserve"> in principle means it is not a permanent fixed structure, and is able to be moved easily, and stored away of an evening.</w:t>
      </w:r>
    </w:p>
    <w:p w14:paraId="23E30F9C" w14:textId="77777777" w:rsidR="002B367B" w:rsidRPr="003433CC" w:rsidRDefault="002B367B" w:rsidP="006C2068">
      <w:pPr>
        <w:rPr>
          <w:color w:val="000000" w:themeColor="text1"/>
        </w:rPr>
      </w:pPr>
    </w:p>
    <w:p w14:paraId="58DA8A85" w14:textId="77777777" w:rsidR="002B367B" w:rsidRDefault="002B367B" w:rsidP="006C2068">
      <w:pPr>
        <w:rPr>
          <w:color w:val="000000" w:themeColor="text1"/>
        </w:rPr>
      </w:pPr>
      <w:r>
        <w:rPr>
          <w:color w:val="000000" w:themeColor="text1"/>
        </w:rPr>
        <w:t>The Council would also expect the type of furniture to be ‘in keeping’ with the local area.</w:t>
      </w:r>
    </w:p>
    <w:p w14:paraId="1DA9207C" w14:textId="73700711" w:rsidR="00171521" w:rsidRDefault="00171521" w:rsidP="006C2068">
      <w:pPr>
        <w:rPr>
          <w:color w:val="000000" w:themeColor="text1"/>
        </w:rPr>
      </w:pPr>
    </w:p>
    <w:p w14:paraId="5300E8A8" w14:textId="77777777" w:rsidR="002B367B" w:rsidRPr="00171521" w:rsidRDefault="002B367B" w:rsidP="006C2068">
      <w:pPr>
        <w:rPr>
          <w:color w:val="0B0C0C"/>
          <w:shd w:val="clear" w:color="auto" w:fill="FFFFFF"/>
        </w:rPr>
      </w:pPr>
    </w:p>
    <w:p w14:paraId="64EA54CA" w14:textId="77777777" w:rsidR="002B367B" w:rsidRPr="002B367B" w:rsidRDefault="002B367B" w:rsidP="006C2068">
      <w:pPr>
        <w:rPr>
          <w:b/>
          <w:color w:val="000000" w:themeColor="text1"/>
        </w:rPr>
      </w:pPr>
      <w:r w:rsidRPr="002B367B">
        <w:rPr>
          <w:b/>
          <w:color w:val="000000" w:themeColor="text1"/>
        </w:rPr>
        <w:lastRenderedPageBreak/>
        <w:t>Planning Permission</w:t>
      </w:r>
    </w:p>
    <w:p w14:paraId="0CC3A878" w14:textId="77777777" w:rsidR="002B367B" w:rsidRPr="00B11643" w:rsidRDefault="002B367B" w:rsidP="006C2068">
      <w:pPr>
        <w:rPr>
          <w:color w:val="000000" w:themeColor="text1"/>
        </w:rPr>
      </w:pPr>
      <w:r w:rsidRPr="00B11643">
        <w:rPr>
          <w:color w:val="0B0C0C"/>
          <w:shd w:val="clear" w:color="auto" w:fill="FFFFFF"/>
        </w:rPr>
        <w:t>Once a licence is granted, or deemed to be granted, the applicant will also benefit from deemed planning permission to use the land for anything done pursuant to the licence while the licence is valid.</w:t>
      </w:r>
    </w:p>
    <w:p w14:paraId="4922CA53" w14:textId="77777777" w:rsidR="002B367B" w:rsidRDefault="002B367B" w:rsidP="006C2068"/>
    <w:p w14:paraId="56B8BDF9" w14:textId="77777777" w:rsidR="002B367B" w:rsidRPr="002B367B" w:rsidRDefault="002B367B" w:rsidP="006C2068">
      <w:pPr>
        <w:rPr>
          <w:b/>
          <w:color w:val="000000" w:themeColor="text1"/>
        </w:rPr>
      </w:pPr>
      <w:r w:rsidRPr="002B367B">
        <w:rPr>
          <w:b/>
          <w:color w:val="000000" w:themeColor="text1"/>
        </w:rPr>
        <w:t>Submission of the Application</w:t>
      </w:r>
    </w:p>
    <w:p w14:paraId="085CE1E9" w14:textId="77777777" w:rsidR="002B367B" w:rsidRPr="001D1CDC" w:rsidRDefault="002B367B" w:rsidP="006C2068">
      <w:pPr>
        <w:rPr>
          <w:color w:val="000000" w:themeColor="text1"/>
        </w:rPr>
      </w:pPr>
      <w:r w:rsidRPr="001D1CDC">
        <w:rPr>
          <w:color w:val="000000" w:themeColor="text1"/>
        </w:rPr>
        <w:t>An application for a Pavement Licence must be made to the Council and</w:t>
      </w:r>
      <w:r>
        <w:rPr>
          <w:color w:val="000000" w:themeColor="text1"/>
        </w:rPr>
        <w:t xml:space="preserve"> the </w:t>
      </w:r>
      <w:r w:rsidRPr="001D1CDC">
        <w:rPr>
          <w:color w:val="000000" w:themeColor="text1"/>
        </w:rPr>
        <w:t>following will be required to be submitted with the application:</w:t>
      </w:r>
    </w:p>
    <w:p w14:paraId="6E53630F" w14:textId="77777777" w:rsidR="002B367B" w:rsidRPr="001D1CDC" w:rsidRDefault="002B367B" w:rsidP="006C2068">
      <w:pPr>
        <w:pStyle w:val="ListParagraph"/>
        <w:numPr>
          <w:ilvl w:val="0"/>
          <w:numId w:val="2"/>
        </w:numPr>
        <w:rPr>
          <w:color w:val="000000" w:themeColor="text1"/>
          <w:lang w:eastAsia="en-GB"/>
        </w:rPr>
      </w:pPr>
      <w:r>
        <w:rPr>
          <w:color w:val="000000" w:themeColor="text1"/>
          <w:lang w:eastAsia="en-GB"/>
        </w:rPr>
        <w:t>a</w:t>
      </w:r>
      <w:r w:rsidRPr="001D1CDC">
        <w:rPr>
          <w:color w:val="000000" w:themeColor="text1"/>
          <w:lang w:eastAsia="en-GB"/>
        </w:rPr>
        <w:t xml:space="preserve"> completed Application Form</w:t>
      </w:r>
    </w:p>
    <w:p w14:paraId="3FD5D3A0" w14:textId="422FE27F" w:rsidR="002B367B" w:rsidRDefault="004A13D9" w:rsidP="006C2068">
      <w:pPr>
        <w:pStyle w:val="ListParagraph"/>
        <w:numPr>
          <w:ilvl w:val="0"/>
          <w:numId w:val="2"/>
        </w:numPr>
        <w:rPr>
          <w:rFonts w:eastAsia="Times New Roman"/>
          <w:color w:val="000000" w:themeColor="text1"/>
          <w:lang w:eastAsia="en-GB"/>
        </w:rPr>
      </w:pPr>
      <w:r>
        <w:rPr>
          <w:rFonts w:eastAsia="Times New Roman"/>
          <w:color w:val="000000" w:themeColor="text1"/>
          <w:lang w:eastAsia="en-GB"/>
        </w:rPr>
        <w:t>a</w:t>
      </w:r>
      <w:r w:rsidR="002B367B" w:rsidRPr="001D1CDC">
        <w:rPr>
          <w:rFonts w:eastAsia="Times New Roman"/>
          <w:color w:val="000000" w:themeColor="text1"/>
          <w:lang w:eastAsia="en-GB"/>
        </w:rPr>
        <w:t xml:space="preserve"> plan showing the location of the premises shown by a red line, so the application site can be clearly identified </w:t>
      </w:r>
    </w:p>
    <w:p w14:paraId="092470B4" w14:textId="77777777" w:rsidR="002B367B" w:rsidRPr="00BF798A" w:rsidRDefault="002B367B" w:rsidP="006C2068">
      <w:pPr>
        <w:pStyle w:val="ListParagraph"/>
        <w:numPr>
          <w:ilvl w:val="0"/>
          <w:numId w:val="2"/>
        </w:numPr>
        <w:rPr>
          <w:rFonts w:eastAsia="Times New Roman"/>
          <w:color w:val="000000" w:themeColor="text1"/>
          <w:lang w:eastAsia="en-GB"/>
        </w:rPr>
      </w:pPr>
      <w:r w:rsidRPr="002B3FB0">
        <w:rPr>
          <w:rFonts w:eastAsia="Times New Roman"/>
          <w:color w:val="000000" w:themeColor="text1"/>
          <w:lang w:eastAsia="en-GB"/>
        </w:rPr>
        <w:t>a plan clearly showing the proposed area covered by the licence in relation to the highway, if not to scale, with measurements clearly shown</w:t>
      </w:r>
      <w:r>
        <w:rPr>
          <w:rFonts w:eastAsia="Times New Roman"/>
          <w:color w:val="000000" w:themeColor="text1"/>
          <w:lang w:eastAsia="en-GB"/>
        </w:rPr>
        <w:t xml:space="preserve">.  The plan must show </w:t>
      </w:r>
      <w:r w:rsidRPr="002B3FB0">
        <w:rPr>
          <w:color w:val="000000" w:themeColor="text1"/>
        </w:rPr>
        <w:t>the positions and number of the proposed tables and chairs, together with any other items that the</w:t>
      </w:r>
      <w:r>
        <w:rPr>
          <w:color w:val="000000" w:themeColor="text1"/>
        </w:rPr>
        <w:t xml:space="preserve"> applicant</w:t>
      </w:r>
      <w:r w:rsidRPr="002B3FB0">
        <w:rPr>
          <w:color w:val="000000" w:themeColor="text1"/>
        </w:rPr>
        <w:t xml:space="preserve"> wish</w:t>
      </w:r>
      <w:r>
        <w:rPr>
          <w:color w:val="000000" w:themeColor="text1"/>
        </w:rPr>
        <w:t>es</w:t>
      </w:r>
      <w:r w:rsidRPr="002B3FB0">
        <w:rPr>
          <w:color w:val="000000" w:themeColor="text1"/>
        </w:rPr>
        <w:t xml:space="preserve"> to place on the highway. The plan shall include clear measurements of, for example, pathway width/length, building width and any other fixed item in the proposed area. </w:t>
      </w:r>
    </w:p>
    <w:p w14:paraId="5604591E" w14:textId="77777777" w:rsidR="002B367B" w:rsidRPr="001D1CDC" w:rsidRDefault="002B367B" w:rsidP="006C2068">
      <w:pPr>
        <w:pStyle w:val="ListParagraph"/>
        <w:numPr>
          <w:ilvl w:val="0"/>
          <w:numId w:val="2"/>
        </w:numPr>
        <w:rPr>
          <w:rFonts w:eastAsia="Times New Roman"/>
          <w:color w:val="000000" w:themeColor="text1"/>
          <w:lang w:eastAsia="en-GB"/>
        </w:rPr>
      </w:pPr>
      <w:r>
        <w:rPr>
          <w:rFonts w:eastAsia="Times New Roman"/>
          <w:color w:val="000000" w:themeColor="text1"/>
          <w:lang w:eastAsia="en-GB"/>
        </w:rPr>
        <w:t xml:space="preserve">the proposed </w:t>
      </w:r>
      <w:r w:rsidRPr="00A834BF">
        <w:rPr>
          <w:rFonts w:eastAsia="Times New Roman"/>
          <w:color w:val="000000" w:themeColor="text1"/>
          <w:lang w:eastAsia="en-GB"/>
        </w:rPr>
        <w:t>days of the week on which, and the times of day between which, it is proposed to put furniture on the highway,</w:t>
      </w:r>
    </w:p>
    <w:p w14:paraId="7FDBC8C8" w14:textId="05FFEA91" w:rsidR="002B367B" w:rsidRPr="001D1CDC" w:rsidRDefault="002B367B" w:rsidP="006C2068">
      <w:pPr>
        <w:pStyle w:val="ListParagraph"/>
        <w:numPr>
          <w:ilvl w:val="0"/>
          <w:numId w:val="2"/>
        </w:numPr>
        <w:rPr>
          <w:rFonts w:eastAsia="Times New Roman"/>
          <w:color w:val="000000" w:themeColor="text1"/>
          <w:lang w:eastAsia="en-GB"/>
        </w:rPr>
      </w:pPr>
      <w:r w:rsidRPr="001D1CDC">
        <w:rPr>
          <w:rFonts w:eastAsia="Times New Roman"/>
          <w:color w:val="000000" w:themeColor="text1"/>
          <w:lang w:eastAsia="en-GB"/>
        </w:rPr>
        <w:t xml:space="preserve">the proposed duration of the licence (for e.g. 3 months, 6 months, or </w:t>
      </w:r>
      <w:r w:rsidR="006C2068">
        <w:rPr>
          <w:rFonts w:eastAsia="Times New Roman"/>
          <w:color w:val="000000" w:themeColor="text1"/>
          <w:lang w:eastAsia="en-GB"/>
        </w:rPr>
        <w:t xml:space="preserve">two </w:t>
      </w:r>
      <w:r w:rsidRPr="001D1CDC">
        <w:rPr>
          <w:rFonts w:eastAsia="Times New Roman"/>
          <w:color w:val="000000" w:themeColor="text1"/>
          <w:lang w:eastAsia="en-GB"/>
        </w:rPr>
        <w:t>year</w:t>
      </w:r>
      <w:r w:rsidR="006C2068">
        <w:rPr>
          <w:rFonts w:eastAsia="Times New Roman"/>
          <w:color w:val="000000" w:themeColor="text1"/>
          <w:lang w:eastAsia="en-GB"/>
        </w:rPr>
        <w:t>s</w:t>
      </w:r>
      <w:proofErr w:type="gramStart"/>
      <w:r w:rsidRPr="001D1CDC">
        <w:rPr>
          <w:rFonts w:eastAsia="Times New Roman"/>
          <w:color w:val="000000" w:themeColor="text1"/>
          <w:lang w:eastAsia="en-GB"/>
        </w:rPr>
        <w:t>);</w:t>
      </w:r>
      <w:proofErr w:type="gramEnd"/>
    </w:p>
    <w:p w14:paraId="2DB2AEA6" w14:textId="77777777" w:rsidR="002B367B" w:rsidRPr="001E0ADC" w:rsidRDefault="002B367B" w:rsidP="006C2068">
      <w:pPr>
        <w:pStyle w:val="ListParagraph"/>
        <w:numPr>
          <w:ilvl w:val="0"/>
          <w:numId w:val="2"/>
        </w:numPr>
        <w:rPr>
          <w:rFonts w:eastAsia="Times New Roman"/>
          <w:color w:val="000000" w:themeColor="text1"/>
          <w:lang w:eastAsia="en-GB"/>
        </w:rPr>
      </w:pPr>
      <w:r w:rsidRPr="001E0ADC">
        <w:rPr>
          <w:rFonts w:eastAsia="Times New Roman"/>
          <w:color w:val="000000" w:themeColor="text1"/>
          <w:lang w:eastAsia="en-GB"/>
        </w:rPr>
        <w:t>evidence that the applicant has met the requirement to give notice of the application (for example photograph</w:t>
      </w:r>
      <w:r>
        <w:rPr>
          <w:rFonts w:eastAsia="Times New Roman"/>
          <w:color w:val="000000" w:themeColor="text1"/>
          <w:lang w:eastAsia="en-GB"/>
        </w:rPr>
        <w:t>s of the notice outside the premises and of the notice itself</w:t>
      </w:r>
      <w:r w:rsidRPr="001E0ADC">
        <w:rPr>
          <w:rFonts w:eastAsia="Times New Roman"/>
          <w:color w:val="000000" w:themeColor="text1"/>
          <w:lang w:eastAsia="en-GB"/>
        </w:rPr>
        <w:t>);</w:t>
      </w:r>
      <w:r>
        <w:rPr>
          <w:rFonts w:eastAsia="Times New Roman"/>
          <w:color w:val="000000" w:themeColor="text1"/>
          <w:lang w:eastAsia="en-GB"/>
        </w:rPr>
        <w:t xml:space="preserve"> and</w:t>
      </w:r>
    </w:p>
    <w:p w14:paraId="3AE2D1E0" w14:textId="77777777" w:rsidR="002B367B" w:rsidRPr="002B367B" w:rsidRDefault="002B367B" w:rsidP="006C2068">
      <w:pPr>
        <w:pStyle w:val="ListParagraph"/>
        <w:numPr>
          <w:ilvl w:val="0"/>
          <w:numId w:val="2"/>
        </w:numPr>
        <w:autoSpaceDE w:val="0"/>
        <w:autoSpaceDN w:val="0"/>
        <w:adjustRightInd w:val="0"/>
        <w:rPr>
          <w:rFonts w:eastAsia="Times New Roman"/>
          <w:color w:val="000000" w:themeColor="text1"/>
          <w:lang w:eastAsia="en-GB"/>
        </w:rPr>
      </w:pPr>
      <w:r w:rsidRPr="002B367B">
        <w:rPr>
          <w:rFonts w:ascii="Helvetica" w:hAnsi="Helvetica" w:cs="Helvetica"/>
        </w:rPr>
        <w:t>a copy of a current certificate of insurance that covers the activity for third party and public liability risks, to a minimum value of £5 million</w:t>
      </w:r>
      <w:r w:rsidRPr="002B367B">
        <w:rPr>
          <w:rFonts w:eastAsia="Times New Roman"/>
          <w:color w:val="000000" w:themeColor="text1"/>
          <w:lang w:eastAsia="en-GB"/>
        </w:rPr>
        <w:t>.</w:t>
      </w:r>
    </w:p>
    <w:p w14:paraId="2A9A415D" w14:textId="77777777" w:rsidR="002B367B" w:rsidRDefault="002B367B" w:rsidP="006C2068">
      <w:pPr>
        <w:rPr>
          <w:color w:val="000000" w:themeColor="text1"/>
        </w:rPr>
      </w:pPr>
    </w:p>
    <w:p w14:paraId="7ACA4F18" w14:textId="77777777" w:rsidR="002B367B" w:rsidRPr="002B367B" w:rsidRDefault="002B367B" w:rsidP="006C2068">
      <w:pPr>
        <w:rPr>
          <w:b/>
          <w:color w:val="000000" w:themeColor="text1"/>
        </w:rPr>
      </w:pPr>
      <w:r w:rsidRPr="002B367B">
        <w:rPr>
          <w:b/>
          <w:color w:val="000000" w:themeColor="text1"/>
        </w:rPr>
        <w:t>Fees</w:t>
      </w:r>
    </w:p>
    <w:p w14:paraId="3E494268" w14:textId="75BC0141" w:rsidR="002B367B" w:rsidRDefault="007E5C35" w:rsidP="006C2068">
      <w:pPr>
        <w:rPr>
          <w:color w:val="000000" w:themeColor="text1"/>
        </w:rPr>
      </w:pPr>
      <w:r>
        <w:rPr>
          <w:shd w:val="clear" w:color="auto" w:fill="FFFFFF"/>
        </w:rPr>
        <w:t>Currently n</w:t>
      </w:r>
      <w:r w:rsidR="00EC3855">
        <w:rPr>
          <w:shd w:val="clear" w:color="auto" w:fill="FFFFFF"/>
        </w:rPr>
        <w:t>o fee is payable for this type of application.</w:t>
      </w:r>
    </w:p>
    <w:p w14:paraId="1B855ED5" w14:textId="77777777" w:rsidR="002B367B" w:rsidRDefault="002B367B" w:rsidP="006C2068">
      <w:pPr>
        <w:rPr>
          <w:color w:val="000000" w:themeColor="text1"/>
        </w:rPr>
      </w:pPr>
    </w:p>
    <w:p w14:paraId="6693DD0E" w14:textId="77777777" w:rsidR="002B367B" w:rsidRPr="002B367B" w:rsidRDefault="002B367B" w:rsidP="006C2068">
      <w:pPr>
        <w:rPr>
          <w:b/>
          <w:color w:val="000000" w:themeColor="text1"/>
        </w:rPr>
      </w:pPr>
      <w:r w:rsidRPr="002B367B">
        <w:rPr>
          <w:b/>
          <w:color w:val="000000" w:themeColor="text1"/>
        </w:rPr>
        <w:t>Consultation</w:t>
      </w:r>
    </w:p>
    <w:p w14:paraId="51944D75" w14:textId="528505EA" w:rsidR="002B367B" w:rsidRPr="002B367B" w:rsidRDefault="002B367B" w:rsidP="006C2068">
      <w:pPr>
        <w:rPr>
          <w:color w:val="000000" w:themeColor="text1"/>
        </w:rPr>
      </w:pPr>
      <w:r>
        <w:rPr>
          <w:color w:val="000000" w:themeColor="text1"/>
        </w:rPr>
        <w:t xml:space="preserve">Applications are consulted upon for </w:t>
      </w:r>
      <w:r w:rsidR="006C2068">
        <w:rPr>
          <w:color w:val="000000" w:themeColor="text1"/>
        </w:rPr>
        <w:t>14 days</w:t>
      </w:r>
      <w:r>
        <w:rPr>
          <w:color w:val="000000" w:themeColor="text1"/>
        </w:rPr>
        <w:t xml:space="preserve">, starting with the day after the day on which a valid application was made to the Council.  The Council is required by law to consult with the Highways Authority.  In addition, to ensure that there are no detrimental effects from the application the Council will consult with other bodies which may include the Police and </w:t>
      </w:r>
      <w:r w:rsidR="004A13D9">
        <w:rPr>
          <w:color w:val="000000" w:themeColor="text1"/>
        </w:rPr>
        <w:t xml:space="preserve">any Parish or Town </w:t>
      </w:r>
      <w:r>
        <w:rPr>
          <w:color w:val="000000" w:themeColor="text1"/>
        </w:rPr>
        <w:t>Council.</w:t>
      </w:r>
    </w:p>
    <w:p w14:paraId="416C6682" w14:textId="77777777" w:rsidR="002B367B" w:rsidRPr="001E4332" w:rsidRDefault="002B367B" w:rsidP="006C2068"/>
    <w:p w14:paraId="76A55D5E" w14:textId="77777777" w:rsidR="002B367B" w:rsidRDefault="002B367B" w:rsidP="006C2068">
      <w:pPr>
        <w:rPr>
          <w:color w:val="0B0C0C"/>
          <w:shd w:val="clear" w:color="auto" w:fill="FFFFFF"/>
        </w:rPr>
      </w:pPr>
      <w:r w:rsidRPr="001E4332">
        <w:rPr>
          <w:color w:val="0B0C0C"/>
          <w:shd w:val="clear" w:color="auto" w:fill="FFFFFF"/>
        </w:rPr>
        <w:t>Members of the public and</w:t>
      </w:r>
      <w:r>
        <w:rPr>
          <w:color w:val="0B0C0C"/>
          <w:shd w:val="clear" w:color="auto" w:fill="FFFFFF"/>
        </w:rPr>
        <w:t xml:space="preserve"> others </w:t>
      </w:r>
      <w:r w:rsidRPr="001E4332">
        <w:rPr>
          <w:color w:val="0B0C0C"/>
          <w:shd w:val="clear" w:color="auto" w:fill="FFFFFF"/>
        </w:rPr>
        <w:t xml:space="preserve">can contact the </w:t>
      </w:r>
      <w:r>
        <w:rPr>
          <w:color w:val="0B0C0C"/>
          <w:shd w:val="clear" w:color="auto" w:fill="FFFFFF"/>
        </w:rPr>
        <w:t>C</w:t>
      </w:r>
      <w:r w:rsidRPr="001E4332">
        <w:rPr>
          <w:color w:val="0B0C0C"/>
          <w:shd w:val="clear" w:color="auto" w:fill="FFFFFF"/>
        </w:rPr>
        <w:t xml:space="preserve">ouncil to make representations. </w:t>
      </w:r>
    </w:p>
    <w:p w14:paraId="40FBDEAD" w14:textId="77777777" w:rsidR="002B367B" w:rsidRDefault="002B367B" w:rsidP="006C2068">
      <w:pPr>
        <w:rPr>
          <w:color w:val="0B0C0C"/>
          <w:shd w:val="clear" w:color="auto" w:fill="FFFFFF"/>
        </w:rPr>
      </w:pPr>
    </w:p>
    <w:p w14:paraId="199A7289" w14:textId="77777777" w:rsidR="002B367B" w:rsidRPr="001E4332" w:rsidRDefault="002B367B" w:rsidP="006C2068">
      <w:r>
        <w:rPr>
          <w:color w:val="0B0C0C"/>
          <w:shd w:val="clear" w:color="auto" w:fill="FFFFFF"/>
        </w:rPr>
        <w:t>The Council m</w:t>
      </w:r>
      <w:r w:rsidRPr="001E4332">
        <w:rPr>
          <w:color w:val="0B0C0C"/>
          <w:shd w:val="clear" w:color="auto" w:fill="FFFFFF"/>
        </w:rPr>
        <w:t xml:space="preserve">ust </w:t>
      </w:r>
      <w:proofErr w:type="gramStart"/>
      <w:r w:rsidRPr="001E4332">
        <w:rPr>
          <w:color w:val="0B0C0C"/>
          <w:shd w:val="clear" w:color="auto" w:fill="FFFFFF"/>
        </w:rPr>
        <w:t>take into account</w:t>
      </w:r>
      <w:proofErr w:type="gramEnd"/>
      <w:r w:rsidRPr="001E4332">
        <w:rPr>
          <w:color w:val="0B0C0C"/>
          <w:shd w:val="clear" w:color="auto" w:fill="FFFFFF"/>
        </w:rPr>
        <w:t xml:space="preserve"> representations received during the public consultation period </w:t>
      </w:r>
      <w:r>
        <w:rPr>
          <w:color w:val="0B0C0C"/>
          <w:shd w:val="clear" w:color="auto" w:fill="FFFFFF"/>
        </w:rPr>
        <w:t>and consider these when determining the application.</w:t>
      </w:r>
    </w:p>
    <w:p w14:paraId="1C00ECF0" w14:textId="77777777" w:rsidR="00EC3855" w:rsidRDefault="00EC3855" w:rsidP="006C2068">
      <w:pPr>
        <w:rPr>
          <w:b/>
          <w:color w:val="000000" w:themeColor="text1"/>
        </w:rPr>
      </w:pPr>
    </w:p>
    <w:p w14:paraId="5528A385" w14:textId="77777777" w:rsidR="002B367B" w:rsidRPr="002B367B" w:rsidRDefault="002B367B" w:rsidP="006C2068">
      <w:pPr>
        <w:rPr>
          <w:b/>
          <w:color w:val="000000" w:themeColor="text1"/>
        </w:rPr>
      </w:pPr>
      <w:r w:rsidRPr="002B367B">
        <w:rPr>
          <w:b/>
          <w:color w:val="000000" w:themeColor="text1"/>
        </w:rPr>
        <w:t>Site Notice</w:t>
      </w:r>
    </w:p>
    <w:p w14:paraId="13161689" w14:textId="77777777" w:rsidR="002B367B" w:rsidRDefault="002B367B" w:rsidP="006C2068">
      <w:pPr>
        <w:rPr>
          <w:color w:val="000000" w:themeColor="text1"/>
        </w:rPr>
      </w:pPr>
      <w:r w:rsidRPr="001E0ADC">
        <w:rPr>
          <w:color w:val="000000" w:themeColor="text1"/>
        </w:rPr>
        <w:t>A</w:t>
      </w:r>
      <w:r>
        <w:rPr>
          <w:color w:val="000000" w:themeColor="text1"/>
        </w:rPr>
        <w:t xml:space="preserve">n applicant </w:t>
      </w:r>
      <w:r w:rsidRPr="001E0ADC">
        <w:rPr>
          <w:color w:val="000000" w:themeColor="text1"/>
        </w:rPr>
        <w:t>for a pavement licence must</w:t>
      </w:r>
      <w:r>
        <w:rPr>
          <w:color w:val="000000" w:themeColor="text1"/>
        </w:rPr>
        <w:t xml:space="preserve"> </w:t>
      </w:r>
      <w:r w:rsidRPr="001E0ADC">
        <w:rPr>
          <w:color w:val="000000" w:themeColor="text1"/>
        </w:rPr>
        <w:t>on the day the application is made, fix a notice of the application to the premises so that the notice is readily visible to, and can be read easily by, members of the public who are not on the premises</w:t>
      </w:r>
      <w:r>
        <w:rPr>
          <w:color w:val="000000" w:themeColor="text1"/>
        </w:rPr>
        <w:t>.  The notice must be constructed and secured so</w:t>
      </w:r>
      <w:r w:rsidRPr="001E0ADC">
        <w:rPr>
          <w:color w:val="000000" w:themeColor="text1"/>
        </w:rPr>
        <w:t xml:space="preserve"> that </w:t>
      </w:r>
      <w:r>
        <w:rPr>
          <w:color w:val="000000" w:themeColor="text1"/>
        </w:rPr>
        <w:t>it</w:t>
      </w:r>
      <w:r w:rsidRPr="001E0ADC">
        <w:rPr>
          <w:color w:val="000000" w:themeColor="text1"/>
        </w:rPr>
        <w:t xml:space="preserve"> remains in place until the end of the public consultation period.</w:t>
      </w:r>
      <w:r>
        <w:rPr>
          <w:color w:val="000000" w:themeColor="text1"/>
        </w:rPr>
        <w:t xml:space="preserve">  Evidence of compliance with the site notice requirement must be supplied to the Council.</w:t>
      </w:r>
    </w:p>
    <w:p w14:paraId="516B4ADA" w14:textId="77777777" w:rsidR="002B367B" w:rsidRDefault="002B367B" w:rsidP="006C2068">
      <w:pPr>
        <w:rPr>
          <w:color w:val="000000" w:themeColor="text1"/>
        </w:rPr>
      </w:pPr>
    </w:p>
    <w:p w14:paraId="1C23792B" w14:textId="77777777" w:rsidR="002B367B" w:rsidRDefault="002B367B" w:rsidP="006C2068">
      <w:r>
        <w:t>The Site Notice must:</w:t>
      </w:r>
    </w:p>
    <w:p w14:paraId="17EC36A6" w14:textId="77777777" w:rsidR="002B367B" w:rsidRDefault="002B367B" w:rsidP="006C2068">
      <w:pPr>
        <w:pStyle w:val="ListParagraph"/>
        <w:numPr>
          <w:ilvl w:val="0"/>
          <w:numId w:val="6"/>
        </w:numPr>
        <w:rPr>
          <w:lang w:eastAsia="en-GB"/>
        </w:rPr>
      </w:pPr>
      <w:bookmarkStart w:id="0" w:name="_Hlk177555928"/>
      <w:r w:rsidRPr="00E67D68">
        <w:rPr>
          <w:lang w:eastAsia="en-GB"/>
        </w:rPr>
        <w:t xml:space="preserve">state that the application has been made and the date on which it was </w:t>
      </w:r>
      <w:proofErr w:type="gramStart"/>
      <w:r w:rsidRPr="00E67D68">
        <w:rPr>
          <w:lang w:eastAsia="en-GB"/>
        </w:rPr>
        <w:t>made;</w:t>
      </w:r>
      <w:proofErr w:type="gramEnd"/>
    </w:p>
    <w:p w14:paraId="5BF9317B" w14:textId="77777777" w:rsidR="002B367B" w:rsidRPr="00E67D68" w:rsidRDefault="002B367B" w:rsidP="006C2068">
      <w:pPr>
        <w:pStyle w:val="ListParagraph"/>
        <w:numPr>
          <w:ilvl w:val="0"/>
          <w:numId w:val="6"/>
        </w:numPr>
        <w:rPr>
          <w:lang w:eastAsia="en-GB"/>
        </w:rPr>
      </w:pPr>
      <w:r>
        <w:rPr>
          <w:lang w:eastAsia="en-GB"/>
        </w:rPr>
        <w:t>state t</w:t>
      </w:r>
      <w:r w:rsidRPr="00E67D68">
        <w:rPr>
          <w:lang w:eastAsia="en-GB"/>
        </w:rPr>
        <w:t xml:space="preserve">he statutory provisions under which the application is </w:t>
      </w:r>
      <w:proofErr w:type="gramStart"/>
      <w:r w:rsidRPr="00E67D68">
        <w:rPr>
          <w:lang w:eastAsia="en-GB"/>
        </w:rPr>
        <w:t>made;</w:t>
      </w:r>
      <w:proofErr w:type="gramEnd"/>
    </w:p>
    <w:p w14:paraId="01EC17D9" w14:textId="77777777" w:rsidR="002B367B" w:rsidRDefault="002B367B" w:rsidP="006C2068">
      <w:pPr>
        <w:pStyle w:val="ListParagraph"/>
        <w:numPr>
          <w:ilvl w:val="0"/>
          <w:numId w:val="6"/>
        </w:numPr>
        <w:rPr>
          <w:lang w:eastAsia="en-GB"/>
        </w:rPr>
      </w:pPr>
      <w:r>
        <w:rPr>
          <w:lang w:eastAsia="en-GB"/>
        </w:rPr>
        <w:lastRenderedPageBreak/>
        <w:t xml:space="preserve">state the </w:t>
      </w:r>
      <w:r w:rsidRPr="00E67D68">
        <w:rPr>
          <w:lang w:eastAsia="en-GB"/>
        </w:rPr>
        <w:t xml:space="preserve">address of the premises and name of the </w:t>
      </w:r>
      <w:proofErr w:type="gramStart"/>
      <w:r w:rsidRPr="00E67D68">
        <w:rPr>
          <w:lang w:eastAsia="en-GB"/>
        </w:rPr>
        <w:t>business;</w:t>
      </w:r>
      <w:proofErr w:type="gramEnd"/>
    </w:p>
    <w:p w14:paraId="595BA357" w14:textId="77777777" w:rsidR="002B367B" w:rsidRPr="00E67D68" w:rsidRDefault="002B367B" w:rsidP="006C2068">
      <w:pPr>
        <w:pStyle w:val="ListParagraph"/>
        <w:numPr>
          <w:ilvl w:val="0"/>
          <w:numId w:val="6"/>
        </w:numPr>
        <w:rPr>
          <w:lang w:eastAsia="en-GB"/>
        </w:rPr>
      </w:pPr>
      <w:r w:rsidRPr="00E67D68">
        <w:rPr>
          <w:lang w:eastAsia="en-GB"/>
        </w:rPr>
        <w:t>descri</w:t>
      </w:r>
      <w:r>
        <w:rPr>
          <w:lang w:eastAsia="en-GB"/>
        </w:rPr>
        <w:t xml:space="preserve">be </w:t>
      </w:r>
      <w:r w:rsidRPr="00E67D68">
        <w:rPr>
          <w:lang w:eastAsia="en-GB"/>
        </w:rPr>
        <w:t xml:space="preserve">the proposed use of the </w:t>
      </w:r>
      <w:proofErr w:type="gramStart"/>
      <w:r w:rsidRPr="00E67D68">
        <w:rPr>
          <w:lang w:eastAsia="en-GB"/>
        </w:rPr>
        <w:t>furniture;</w:t>
      </w:r>
      <w:proofErr w:type="gramEnd"/>
    </w:p>
    <w:p w14:paraId="2B9633B3" w14:textId="77777777" w:rsidR="002B367B" w:rsidRPr="00E67D68" w:rsidRDefault="002B367B" w:rsidP="006C2068">
      <w:pPr>
        <w:pStyle w:val="ListParagraph"/>
        <w:numPr>
          <w:ilvl w:val="0"/>
          <w:numId w:val="6"/>
        </w:numPr>
        <w:rPr>
          <w:lang w:eastAsia="en-GB"/>
        </w:rPr>
      </w:pPr>
      <w:r w:rsidRPr="00E67D68">
        <w:rPr>
          <w:lang w:eastAsia="en-GB"/>
        </w:rPr>
        <w:t xml:space="preserve">indicate that representations relating to the application may be made to </w:t>
      </w:r>
      <w:r>
        <w:rPr>
          <w:lang w:eastAsia="en-GB"/>
        </w:rPr>
        <w:t>the Council</w:t>
      </w:r>
      <w:r w:rsidRPr="00E67D68">
        <w:rPr>
          <w:lang w:eastAsia="en-GB"/>
        </w:rPr>
        <w:t xml:space="preserve"> during the public consultation period and when that period comes to an </w:t>
      </w:r>
      <w:proofErr w:type="gramStart"/>
      <w:r w:rsidRPr="00E67D68">
        <w:rPr>
          <w:lang w:eastAsia="en-GB"/>
        </w:rPr>
        <w:t>end;</w:t>
      </w:r>
      <w:proofErr w:type="gramEnd"/>
    </w:p>
    <w:p w14:paraId="3C4A2482" w14:textId="77777777" w:rsidR="002B367B" w:rsidRPr="00E67D68" w:rsidRDefault="002B367B" w:rsidP="006C2068">
      <w:pPr>
        <w:pStyle w:val="ListParagraph"/>
        <w:numPr>
          <w:ilvl w:val="0"/>
          <w:numId w:val="6"/>
        </w:numPr>
        <w:rPr>
          <w:lang w:eastAsia="en-GB"/>
        </w:rPr>
      </w:pPr>
      <w:r>
        <w:rPr>
          <w:lang w:eastAsia="en-GB"/>
        </w:rPr>
        <w:t xml:space="preserve">state the Council’s </w:t>
      </w:r>
      <w:r w:rsidRPr="00E67D68">
        <w:rPr>
          <w:lang w:eastAsia="en-GB"/>
        </w:rPr>
        <w:t xml:space="preserve">website where the application and any accompanying material can be viewed during the consultation </w:t>
      </w:r>
      <w:proofErr w:type="gramStart"/>
      <w:r w:rsidRPr="00E67D68">
        <w:rPr>
          <w:lang w:eastAsia="en-GB"/>
        </w:rPr>
        <w:t>period;</w:t>
      </w:r>
      <w:proofErr w:type="gramEnd"/>
    </w:p>
    <w:p w14:paraId="036757D6" w14:textId="77777777" w:rsidR="002B367B" w:rsidRPr="00E67D68" w:rsidRDefault="002B367B" w:rsidP="006C2068">
      <w:pPr>
        <w:pStyle w:val="ListParagraph"/>
        <w:numPr>
          <w:ilvl w:val="0"/>
          <w:numId w:val="6"/>
        </w:numPr>
        <w:rPr>
          <w:lang w:eastAsia="en-GB"/>
        </w:rPr>
      </w:pPr>
      <w:r>
        <w:rPr>
          <w:lang w:eastAsia="en-GB"/>
        </w:rPr>
        <w:t xml:space="preserve">state the </w:t>
      </w:r>
      <w:r w:rsidRPr="00E67D68">
        <w:rPr>
          <w:lang w:eastAsia="en-GB"/>
        </w:rPr>
        <w:t>address to which representations should be sent during the consultation period; and</w:t>
      </w:r>
    </w:p>
    <w:p w14:paraId="2EA16098" w14:textId="3103EC88" w:rsidR="002B367B" w:rsidRPr="00E67D68" w:rsidRDefault="002B367B" w:rsidP="006C2068">
      <w:pPr>
        <w:pStyle w:val="ListParagraph"/>
        <w:numPr>
          <w:ilvl w:val="0"/>
          <w:numId w:val="6"/>
        </w:numPr>
        <w:rPr>
          <w:lang w:eastAsia="en-GB"/>
        </w:rPr>
      </w:pPr>
      <w:r w:rsidRPr="00E67D68">
        <w:rPr>
          <w:lang w:eastAsia="en-GB"/>
        </w:rPr>
        <w:t>the end date of the consultation (</w:t>
      </w:r>
      <w:r w:rsidR="001D7E30">
        <w:rPr>
          <w:lang w:eastAsia="en-GB"/>
        </w:rPr>
        <w:t>14</w:t>
      </w:r>
      <w:r w:rsidRPr="00E67D68">
        <w:rPr>
          <w:lang w:eastAsia="en-GB"/>
        </w:rPr>
        <w:t xml:space="preserve"> days starting the day after the application is submitted to the authority).</w:t>
      </w:r>
    </w:p>
    <w:bookmarkEnd w:id="0"/>
    <w:p w14:paraId="00037560" w14:textId="77777777" w:rsidR="002B367B" w:rsidRDefault="002B367B" w:rsidP="006C2068">
      <w:pPr>
        <w:rPr>
          <w:color w:val="000000" w:themeColor="text1"/>
        </w:rPr>
      </w:pPr>
    </w:p>
    <w:p w14:paraId="1FBA824C" w14:textId="3D0AB160" w:rsidR="002B367B" w:rsidRDefault="002B367B" w:rsidP="006C2068">
      <w:pPr>
        <w:rPr>
          <w:color w:val="000000" w:themeColor="text1"/>
        </w:rPr>
      </w:pPr>
      <w:r>
        <w:rPr>
          <w:color w:val="000000" w:themeColor="text1"/>
        </w:rPr>
        <w:t xml:space="preserve">A template Site Notice is </w:t>
      </w:r>
      <w:r w:rsidR="00CB4176">
        <w:rPr>
          <w:color w:val="000000" w:themeColor="text1"/>
        </w:rPr>
        <w:t>available to download from th</w:t>
      </w:r>
      <w:r w:rsidR="00A7235C">
        <w:rPr>
          <w:color w:val="000000" w:themeColor="text1"/>
        </w:rPr>
        <w:t>e Council’s web site.</w:t>
      </w:r>
    </w:p>
    <w:p w14:paraId="51256DB5" w14:textId="77777777" w:rsidR="002B367B" w:rsidRDefault="002B367B" w:rsidP="006C2068">
      <w:pPr>
        <w:rPr>
          <w:color w:val="000000" w:themeColor="text1"/>
        </w:rPr>
      </w:pPr>
    </w:p>
    <w:p w14:paraId="23EEA716" w14:textId="77777777" w:rsidR="002B367B" w:rsidRPr="00CB4176" w:rsidRDefault="002B367B" w:rsidP="006C2068">
      <w:pPr>
        <w:rPr>
          <w:b/>
          <w:color w:val="000000" w:themeColor="text1"/>
        </w:rPr>
      </w:pPr>
      <w:r w:rsidRPr="00CB4176">
        <w:rPr>
          <w:b/>
          <w:color w:val="000000" w:themeColor="text1"/>
        </w:rPr>
        <w:t>Site Assessment</w:t>
      </w:r>
    </w:p>
    <w:p w14:paraId="158CCF8F" w14:textId="77777777" w:rsidR="002B367B" w:rsidRDefault="002B367B" w:rsidP="006C2068">
      <w:pPr>
        <w:rPr>
          <w:color w:val="000000" w:themeColor="text1"/>
        </w:rPr>
      </w:pPr>
      <w:r>
        <w:rPr>
          <w:color w:val="000000" w:themeColor="text1"/>
        </w:rPr>
        <w:t xml:space="preserve">The following matters will be </w:t>
      </w:r>
      <w:proofErr w:type="gramStart"/>
      <w:r>
        <w:rPr>
          <w:color w:val="000000" w:themeColor="text1"/>
        </w:rPr>
        <w:t>taken into account</w:t>
      </w:r>
      <w:proofErr w:type="gramEnd"/>
      <w:r>
        <w:rPr>
          <w:color w:val="000000" w:themeColor="text1"/>
        </w:rPr>
        <w:t xml:space="preserve"> by the Council in considering the suitability of the proposed application:</w:t>
      </w:r>
    </w:p>
    <w:p w14:paraId="56036F40" w14:textId="77777777" w:rsidR="002B367B" w:rsidRPr="002B3FB0" w:rsidRDefault="002B367B" w:rsidP="006C2068">
      <w:pPr>
        <w:pStyle w:val="ListParagraph"/>
        <w:numPr>
          <w:ilvl w:val="0"/>
          <w:numId w:val="4"/>
        </w:numPr>
      </w:pPr>
      <w:r w:rsidRPr="002B3FB0">
        <w:t>public health and safety – for example, ensuring that use</w:t>
      </w:r>
      <w:r>
        <w:t>r</w:t>
      </w:r>
      <w:r w:rsidRPr="002B3FB0">
        <w:t xml:space="preserve">s conform with latest guidance on social distancing and any reasonable crowd management measures needed </w:t>
      </w:r>
      <w:proofErr w:type="gramStart"/>
      <w:r w:rsidRPr="002B3FB0">
        <w:t>as a result of</w:t>
      </w:r>
      <w:proofErr w:type="gramEnd"/>
      <w:r w:rsidRPr="002B3FB0">
        <w:t xml:space="preserve"> a licence being granted and businesses </w:t>
      </w:r>
      <w:proofErr w:type="gramStart"/>
      <w:r w:rsidRPr="002B3FB0">
        <w:t>reopening;</w:t>
      </w:r>
      <w:proofErr w:type="gramEnd"/>
    </w:p>
    <w:p w14:paraId="5CCFBCF8" w14:textId="77777777" w:rsidR="002B367B" w:rsidRPr="002B3FB0" w:rsidRDefault="002B367B" w:rsidP="006C2068">
      <w:pPr>
        <w:pStyle w:val="ListParagraph"/>
        <w:numPr>
          <w:ilvl w:val="0"/>
          <w:numId w:val="4"/>
        </w:numPr>
      </w:pPr>
      <w:r w:rsidRPr="002B3FB0">
        <w:t>public amenity – will the proposed use create nuisance to neighbouring occupiers by generating anti-social behaviour</w:t>
      </w:r>
      <w:r>
        <w:t>, excessive noise</w:t>
      </w:r>
      <w:r w:rsidRPr="002B3FB0">
        <w:t xml:space="preserve"> and litter; and</w:t>
      </w:r>
    </w:p>
    <w:p w14:paraId="28916451" w14:textId="77777777" w:rsidR="002B367B" w:rsidRPr="002B3FB0" w:rsidRDefault="002B367B" w:rsidP="006C2068">
      <w:pPr>
        <w:pStyle w:val="ListParagraph"/>
        <w:numPr>
          <w:ilvl w:val="0"/>
          <w:numId w:val="4"/>
        </w:numPr>
      </w:pPr>
      <w:r w:rsidRPr="002B3FB0">
        <w:t xml:space="preserve">accessibility – taking a proportionate approach to considering the nature of the site in relation to which the application for a licence is made, taking account of: </w:t>
      </w:r>
    </w:p>
    <w:p w14:paraId="6CC23251" w14:textId="77777777" w:rsidR="002B367B" w:rsidRPr="002B3FB0" w:rsidRDefault="002B367B" w:rsidP="006C2068">
      <w:pPr>
        <w:pStyle w:val="ListParagraph"/>
        <w:numPr>
          <w:ilvl w:val="1"/>
          <w:numId w:val="4"/>
        </w:numPr>
      </w:pPr>
      <w:r w:rsidRPr="002B3FB0">
        <w:t>any other temporary measures in place that may be relevant to the proposal, for example, the reallocation of road space. This could include pedestrianised streets and any subsequent reallocation of this space to vehicles</w:t>
      </w:r>
      <w:r>
        <w:t>,</w:t>
      </w:r>
    </w:p>
    <w:p w14:paraId="711144C9" w14:textId="77777777" w:rsidR="002B367B" w:rsidRDefault="002B367B" w:rsidP="006C2068">
      <w:pPr>
        <w:pStyle w:val="ListParagraph"/>
        <w:numPr>
          <w:ilvl w:val="1"/>
          <w:numId w:val="4"/>
        </w:numPr>
      </w:pPr>
      <w:r w:rsidRPr="002B3FB0">
        <w:t>whether there are other permanent street furniture or structures in place on the footway that already reduce access</w:t>
      </w:r>
      <w:r>
        <w:t>,</w:t>
      </w:r>
    </w:p>
    <w:p w14:paraId="3E88BA7F" w14:textId="77777777" w:rsidR="002B367B" w:rsidRDefault="002B367B" w:rsidP="006C2068">
      <w:pPr>
        <w:pStyle w:val="ListParagraph"/>
        <w:numPr>
          <w:ilvl w:val="1"/>
          <w:numId w:val="4"/>
        </w:numPr>
      </w:pPr>
      <w:r>
        <w:t>the impact of access and egress to the premises</w:t>
      </w:r>
    </w:p>
    <w:p w14:paraId="1E676E22" w14:textId="77777777" w:rsidR="002B367B" w:rsidRPr="002B3FB0" w:rsidRDefault="002B367B" w:rsidP="006C2068">
      <w:pPr>
        <w:pStyle w:val="ListParagraph"/>
        <w:numPr>
          <w:ilvl w:val="1"/>
          <w:numId w:val="4"/>
        </w:numPr>
      </w:pPr>
      <w:r>
        <w:t>the impact on any neighbouring premises</w:t>
      </w:r>
    </w:p>
    <w:p w14:paraId="00F8D995" w14:textId="77777777" w:rsidR="002B367B" w:rsidRPr="002B3FB0" w:rsidRDefault="00CB4176" w:rsidP="006C2068">
      <w:pPr>
        <w:pStyle w:val="ListParagraph"/>
        <w:numPr>
          <w:ilvl w:val="1"/>
          <w:numId w:val="4"/>
        </w:numPr>
      </w:pPr>
      <w:r>
        <w:t>othe</w:t>
      </w:r>
      <w:r w:rsidR="002B367B" w:rsidRPr="002B3FB0">
        <w:t>r users of the space, for example if there are high levels of pedestrian or cycle movements.</w:t>
      </w:r>
    </w:p>
    <w:p w14:paraId="65BFEAB0" w14:textId="77777777" w:rsidR="002B367B" w:rsidRPr="00E67D68" w:rsidRDefault="002B367B" w:rsidP="006C2068">
      <w:r>
        <w:rPr>
          <w:color w:val="0B0C0C"/>
          <w:shd w:val="clear" w:color="auto" w:fill="FFFFFF"/>
        </w:rPr>
        <w:t>Applicants are</w:t>
      </w:r>
      <w:r w:rsidRPr="00E67D68">
        <w:rPr>
          <w:color w:val="0B0C0C"/>
          <w:shd w:val="clear" w:color="auto" w:fill="FFFFFF"/>
        </w:rPr>
        <w:t xml:space="preserve"> </w:t>
      </w:r>
      <w:r>
        <w:rPr>
          <w:color w:val="0B0C0C"/>
          <w:shd w:val="clear" w:color="auto" w:fill="FFFFFF"/>
        </w:rPr>
        <w:t xml:space="preserve">strongly </w:t>
      </w:r>
      <w:r w:rsidRPr="00E67D68">
        <w:rPr>
          <w:color w:val="0B0C0C"/>
          <w:shd w:val="clear" w:color="auto" w:fill="FFFFFF"/>
        </w:rPr>
        <w:t>encouraged to talk to neighbouring businesses and occupiers prior to applying to the local authority, and take any issues around noise, and nuisance into consideration as part of the proposal.</w:t>
      </w:r>
    </w:p>
    <w:p w14:paraId="0E9B5FAC" w14:textId="77777777" w:rsidR="002B367B" w:rsidRPr="00E67D68" w:rsidRDefault="002B367B" w:rsidP="006C2068"/>
    <w:p w14:paraId="79B2007B" w14:textId="77777777" w:rsidR="002B367B" w:rsidRPr="00CB4176" w:rsidRDefault="002B367B" w:rsidP="006C2068">
      <w:pPr>
        <w:rPr>
          <w:b/>
          <w:color w:val="000000" w:themeColor="text1"/>
        </w:rPr>
      </w:pPr>
      <w:r w:rsidRPr="00CB4176">
        <w:rPr>
          <w:b/>
          <w:color w:val="000000" w:themeColor="text1"/>
        </w:rPr>
        <w:t>Determination</w:t>
      </w:r>
    </w:p>
    <w:p w14:paraId="3CC954F6" w14:textId="5D901C8D" w:rsidR="002B367B" w:rsidRPr="002B3FB0" w:rsidRDefault="002B367B" w:rsidP="006C2068">
      <w:r w:rsidRPr="002B3FB0">
        <w:t xml:space="preserve">Once the </w:t>
      </w:r>
      <w:r>
        <w:t>application</w:t>
      </w:r>
      <w:r w:rsidRPr="002B3FB0">
        <w:t xml:space="preserve"> is submitted the </w:t>
      </w:r>
      <w:r>
        <w:t xml:space="preserve">Council </w:t>
      </w:r>
      <w:r w:rsidRPr="002B3FB0">
        <w:t xml:space="preserve">has </w:t>
      </w:r>
      <w:r>
        <w:t>14</w:t>
      </w:r>
      <w:r w:rsidRPr="002B3FB0">
        <w:t xml:space="preserve"> days from the day after the application is made (excluding public holidays) to consult on</w:t>
      </w:r>
      <w:r>
        <w:t xml:space="preserve"> </w:t>
      </w:r>
      <w:r w:rsidRPr="002B3FB0">
        <w:t>and determine the application.</w:t>
      </w:r>
      <w:r w:rsidR="00165ADB">
        <w:t xml:space="preserve"> </w:t>
      </w:r>
    </w:p>
    <w:p w14:paraId="12CD38F6" w14:textId="77777777" w:rsidR="002B367B" w:rsidRPr="004C3963" w:rsidRDefault="002B367B" w:rsidP="006C2068">
      <w:pPr>
        <w:rPr>
          <w:sz w:val="20"/>
          <w:szCs w:val="20"/>
        </w:rPr>
      </w:pPr>
    </w:p>
    <w:p w14:paraId="660EF5CE" w14:textId="77777777" w:rsidR="002B367B" w:rsidRPr="004C3963" w:rsidRDefault="002B367B" w:rsidP="006C2068">
      <w:pPr>
        <w:rPr>
          <w:color w:val="0B0C0C"/>
        </w:rPr>
      </w:pPr>
      <w:r w:rsidRPr="004C3963">
        <w:rPr>
          <w:color w:val="0B0C0C"/>
        </w:rPr>
        <w:t>If the local authority determines the application before the end of the determination period, the local authority can:</w:t>
      </w:r>
    </w:p>
    <w:p w14:paraId="66F8C1C4" w14:textId="77777777" w:rsidR="002B367B" w:rsidRPr="004C3963" w:rsidRDefault="002B367B" w:rsidP="006C2068">
      <w:pPr>
        <w:pStyle w:val="ListParagraph"/>
        <w:numPr>
          <w:ilvl w:val="0"/>
          <w:numId w:val="5"/>
        </w:numPr>
        <w:rPr>
          <w:rFonts w:eastAsia="Times New Roman"/>
          <w:color w:val="0B0C0C"/>
          <w:lang w:eastAsia="en-GB"/>
        </w:rPr>
      </w:pPr>
      <w:r w:rsidRPr="004C3963">
        <w:rPr>
          <w:rFonts w:eastAsia="Times New Roman"/>
          <w:color w:val="0B0C0C"/>
          <w:lang w:eastAsia="en-GB"/>
        </w:rPr>
        <w:t xml:space="preserve">grant the licence in respect of any or </w:t>
      </w:r>
      <w:proofErr w:type="gramStart"/>
      <w:r w:rsidRPr="004C3963">
        <w:rPr>
          <w:rFonts w:eastAsia="Times New Roman"/>
          <w:color w:val="0B0C0C"/>
          <w:lang w:eastAsia="en-GB"/>
        </w:rPr>
        <w:t>all of</w:t>
      </w:r>
      <w:proofErr w:type="gramEnd"/>
      <w:r w:rsidRPr="004C3963">
        <w:rPr>
          <w:rFonts w:eastAsia="Times New Roman"/>
          <w:color w:val="0B0C0C"/>
          <w:lang w:eastAsia="en-GB"/>
        </w:rPr>
        <w:t xml:space="preserve"> the purposes specified in the application,</w:t>
      </w:r>
    </w:p>
    <w:p w14:paraId="702E658D" w14:textId="77777777" w:rsidR="002B367B" w:rsidRDefault="002B367B" w:rsidP="006C2068">
      <w:pPr>
        <w:pStyle w:val="ListParagraph"/>
        <w:numPr>
          <w:ilvl w:val="0"/>
          <w:numId w:val="5"/>
        </w:numPr>
        <w:rPr>
          <w:rFonts w:eastAsia="Times New Roman"/>
          <w:color w:val="0B0C0C"/>
          <w:lang w:eastAsia="en-GB"/>
        </w:rPr>
      </w:pPr>
      <w:r w:rsidRPr="008149CB">
        <w:rPr>
          <w:rFonts w:eastAsia="Times New Roman"/>
          <w:color w:val="0B0C0C"/>
          <w:lang w:eastAsia="en-GB"/>
        </w:rPr>
        <w:t xml:space="preserve">grant the licence for some or </w:t>
      </w:r>
      <w:proofErr w:type="gramStart"/>
      <w:r w:rsidRPr="008149CB">
        <w:rPr>
          <w:rFonts w:eastAsia="Times New Roman"/>
          <w:color w:val="0B0C0C"/>
          <w:lang w:eastAsia="en-GB"/>
        </w:rPr>
        <w:t>all of</w:t>
      </w:r>
      <w:proofErr w:type="gramEnd"/>
      <w:r w:rsidRPr="008149CB">
        <w:rPr>
          <w:rFonts w:eastAsia="Times New Roman"/>
          <w:color w:val="0B0C0C"/>
          <w:lang w:eastAsia="en-GB"/>
        </w:rPr>
        <w:t xml:space="preserve"> the part of the highway specified in the application,</w:t>
      </w:r>
    </w:p>
    <w:p w14:paraId="3EFABAE6" w14:textId="77777777" w:rsidR="002B367B" w:rsidRPr="008149CB" w:rsidRDefault="002B367B" w:rsidP="006C2068">
      <w:pPr>
        <w:pStyle w:val="ListParagraph"/>
        <w:numPr>
          <w:ilvl w:val="0"/>
          <w:numId w:val="5"/>
        </w:numPr>
        <w:rPr>
          <w:rFonts w:eastAsia="Times New Roman"/>
          <w:color w:val="0B0C0C"/>
          <w:lang w:eastAsia="en-GB"/>
        </w:rPr>
      </w:pPr>
      <w:r w:rsidRPr="008149CB">
        <w:rPr>
          <w:rFonts w:eastAsia="Times New Roman"/>
          <w:color w:val="0B0C0C"/>
          <w:lang w:eastAsia="en-GB"/>
        </w:rPr>
        <w:t>impose conditions on any licence granted, or</w:t>
      </w:r>
    </w:p>
    <w:p w14:paraId="33E0D9F4" w14:textId="77777777" w:rsidR="002B367B" w:rsidRPr="004C3963" w:rsidRDefault="002B367B" w:rsidP="006C2068">
      <w:pPr>
        <w:pStyle w:val="ListParagraph"/>
        <w:numPr>
          <w:ilvl w:val="0"/>
          <w:numId w:val="5"/>
        </w:numPr>
        <w:rPr>
          <w:rFonts w:eastAsia="Times New Roman"/>
          <w:color w:val="0B0C0C"/>
          <w:lang w:eastAsia="en-GB"/>
        </w:rPr>
      </w:pPr>
      <w:r w:rsidRPr="004C3963">
        <w:rPr>
          <w:rFonts w:eastAsia="Times New Roman"/>
          <w:color w:val="0B0C0C"/>
          <w:lang w:eastAsia="en-GB"/>
        </w:rPr>
        <w:t>refuse the application.</w:t>
      </w:r>
    </w:p>
    <w:p w14:paraId="54163BA8" w14:textId="7CA4445B" w:rsidR="002B367B" w:rsidRPr="002B3FB0" w:rsidRDefault="002B367B" w:rsidP="006C2068">
      <w:r w:rsidRPr="002B3FB0">
        <w:t>If the local authority does not determine the application within the 1</w:t>
      </w:r>
      <w:r>
        <w:t>4</w:t>
      </w:r>
      <w:r w:rsidRPr="002B3FB0">
        <w:t>day period, the application will be deemed to have been granted</w:t>
      </w:r>
      <w:r>
        <w:t xml:space="preserve"> subject to any published local or national conditions</w:t>
      </w:r>
      <w:r w:rsidRPr="002B3FB0">
        <w:t>.</w:t>
      </w:r>
    </w:p>
    <w:p w14:paraId="73FB89F3" w14:textId="77777777" w:rsidR="002B367B" w:rsidRDefault="002B367B" w:rsidP="006C2068">
      <w:pPr>
        <w:rPr>
          <w:color w:val="000000" w:themeColor="text1"/>
        </w:rPr>
      </w:pPr>
    </w:p>
    <w:p w14:paraId="13E81B07" w14:textId="77777777" w:rsidR="002B367B" w:rsidRPr="00CB4176" w:rsidRDefault="002B367B" w:rsidP="006C2068">
      <w:pPr>
        <w:rPr>
          <w:b/>
          <w:color w:val="000000" w:themeColor="text1"/>
        </w:rPr>
      </w:pPr>
      <w:r w:rsidRPr="00CB4176">
        <w:rPr>
          <w:b/>
          <w:color w:val="000000" w:themeColor="text1"/>
        </w:rPr>
        <w:t>Approval of Applications</w:t>
      </w:r>
    </w:p>
    <w:p w14:paraId="4A6196A9" w14:textId="75932024" w:rsidR="002B367B" w:rsidRDefault="002B367B" w:rsidP="006C2068">
      <w:r w:rsidRPr="00211AF7">
        <w:t>The Council may approve applications meeting the criteria contained within</w:t>
      </w:r>
      <w:r>
        <w:t xml:space="preserve"> </w:t>
      </w:r>
      <w:r w:rsidRPr="00211AF7">
        <w:t>these guidelines. On approving the application</w:t>
      </w:r>
      <w:r>
        <w:t>,</w:t>
      </w:r>
      <w:r w:rsidRPr="00211AF7">
        <w:t xml:space="preserve"> the Council will issue a </w:t>
      </w:r>
      <w:r>
        <w:t xml:space="preserve">Pavement Licence </w:t>
      </w:r>
      <w:r w:rsidRPr="00211AF7">
        <w:t xml:space="preserve">to which conditions will be attached. </w:t>
      </w:r>
      <w:r>
        <w:t xml:space="preserve"> </w:t>
      </w:r>
      <w:r w:rsidRPr="00211AF7">
        <w:t xml:space="preserve">The </w:t>
      </w:r>
      <w:r>
        <w:t>licence</w:t>
      </w:r>
      <w:r w:rsidRPr="00211AF7">
        <w:t xml:space="preserve"> will also</w:t>
      </w:r>
      <w:r>
        <w:t xml:space="preserve"> </w:t>
      </w:r>
      <w:r w:rsidRPr="00211AF7">
        <w:t xml:space="preserve">contain specific terms such as days and hours when </w:t>
      </w:r>
      <w:r>
        <w:t xml:space="preserve">tables and chairs are </w:t>
      </w:r>
      <w:r w:rsidRPr="00211AF7">
        <w:t xml:space="preserve">permitted and </w:t>
      </w:r>
      <w:r>
        <w:t>appearance and location of the furniture corresponding to the application</w:t>
      </w:r>
      <w:r w:rsidRPr="00211AF7">
        <w:t xml:space="preserve">. </w:t>
      </w:r>
    </w:p>
    <w:p w14:paraId="1CDDB74D" w14:textId="77777777" w:rsidR="002B367B" w:rsidRDefault="002B367B" w:rsidP="006C2068"/>
    <w:p w14:paraId="00CDB9A7" w14:textId="77777777" w:rsidR="002B367B" w:rsidRPr="00CB4176" w:rsidRDefault="002B367B" w:rsidP="006C2068">
      <w:pPr>
        <w:rPr>
          <w:b/>
          <w:color w:val="000000" w:themeColor="text1"/>
        </w:rPr>
      </w:pPr>
      <w:r w:rsidRPr="00CB4176">
        <w:rPr>
          <w:b/>
          <w:color w:val="000000" w:themeColor="text1"/>
        </w:rPr>
        <w:t>Licence Duration</w:t>
      </w:r>
    </w:p>
    <w:p w14:paraId="6F57E361" w14:textId="44DF4FEB" w:rsidR="002B367B" w:rsidRDefault="002B367B" w:rsidP="006C2068">
      <w:r w:rsidRPr="004C3963">
        <w:t xml:space="preserve">If </w:t>
      </w:r>
      <w:r>
        <w:t xml:space="preserve">the Council </w:t>
      </w:r>
      <w:r w:rsidRPr="004C3963">
        <w:t xml:space="preserve">determines an application before the end of the determination period (which is </w:t>
      </w:r>
      <w:r w:rsidR="00031837">
        <w:t>14</w:t>
      </w:r>
      <w:r w:rsidRPr="004C3963">
        <w:t xml:space="preserve"> days, beginning with the first day after the </w:t>
      </w:r>
      <w:r>
        <w:t xml:space="preserve">end of the </w:t>
      </w:r>
      <w:r w:rsidRPr="004C3963">
        <w:t>public consultation period, excluding public holidays) the duration of the licence</w:t>
      </w:r>
      <w:r>
        <w:t xml:space="preserve"> will be specified</w:t>
      </w:r>
      <w:r w:rsidRPr="004C3963">
        <w:t xml:space="preserve">, subject to a minimum duration of 3 months. </w:t>
      </w:r>
    </w:p>
    <w:p w14:paraId="19BAE46C" w14:textId="77777777" w:rsidR="002B367B" w:rsidRDefault="002B367B" w:rsidP="006C2068"/>
    <w:p w14:paraId="31D9BC8E" w14:textId="5DEB6CA9" w:rsidR="002B367B" w:rsidRDefault="002B367B" w:rsidP="006C2068">
      <w:r w:rsidRPr="004C3963">
        <w:t>The expectation</w:t>
      </w:r>
      <w:r>
        <w:t xml:space="preserve"> from the Government </w:t>
      </w:r>
      <w:r w:rsidRPr="004C3963">
        <w:t xml:space="preserve">is that local authorities will grant licences for </w:t>
      </w:r>
      <w:r w:rsidR="006C2068">
        <w:t>24</w:t>
      </w:r>
      <w:r w:rsidRPr="004C3963">
        <w:t xml:space="preserve"> </w:t>
      </w:r>
      <w:proofErr w:type="gramStart"/>
      <w:r w:rsidRPr="004C3963">
        <w:t>months</w:t>
      </w:r>
      <w:r w:rsidR="006C2068">
        <w:t xml:space="preserve"> </w:t>
      </w:r>
      <w:r w:rsidRPr="004C3963">
        <w:t xml:space="preserve"> unless</w:t>
      </w:r>
      <w:proofErr w:type="gramEnd"/>
      <w:r w:rsidRPr="004C3963">
        <w:t xml:space="preserve"> there are good reasons for granting a licence for a shorter period</w:t>
      </w:r>
      <w:r>
        <w:t>,</w:t>
      </w:r>
      <w:r w:rsidRPr="004C3963">
        <w:t xml:space="preserve"> such as plans for future changes in use of road space.</w:t>
      </w:r>
    </w:p>
    <w:p w14:paraId="09236BB5" w14:textId="77777777" w:rsidR="002B367B" w:rsidRPr="004C3963" w:rsidRDefault="002B367B" w:rsidP="006C2068"/>
    <w:p w14:paraId="2EE7A33F" w14:textId="257EB77F" w:rsidR="002B367B" w:rsidRPr="004C3963" w:rsidRDefault="002B367B" w:rsidP="006C2068">
      <w:r w:rsidRPr="004C3963">
        <w:t xml:space="preserve">If a licence is ‘deemed’ granted because the authority does not </w:t>
      </w:r>
      <w:proofErr w:type="gramStart"/>
      <w:r w:rsidRPr="004C3963">
        <w:t>make</w:t>
      </w:r>
      <w:r w:rsidR="00156B39">
        <w:t xml:space="preserve"> </w:t>
      </w:r>
      <w:r w:rsidRPr="004C3963">
        <w:t>a decision</w:t>
      </w:r>
      <w:proofErr w:type="gramEnd"/>
      <w:r w:rsidRPr="004C3963">
        <w:t xml:space="preserve"> on an application before the end of the determination period, then the licence will be valid for </w:t>
      </w:r>
      <w:r w:rsidR="006C2068">
        <w:t>two years</w:t>
      </w:r>
      <w:r w:rsidRPr="004C3963">
        <w:t>.</w:t>
      </w:r>
    </w:p>
    <w:p w14:paraId="076E6CF9" w14:textId="77777777" w:rsidR="002B367B" w:rsidRDefault="002B367B" w:rsidP="006C2068">
      <w:pPr>
        <w:rPr>
          <w:color w:val="000000" w:themeColor="text1"/>
        </w:rPr>
      </w:pPr>
    </w:p>
    <w:p w14:paraId="32575211" w14:textId="77777777" w:rsidR="002B367B" w:rsidRPr="00CB4176" w:rsidRDefault="002B367B" w:rsidP="006C2068">
      <w:pPr>
        <w:rPr>
          <w:b/>
          <w:color w:val="000000" w:themeColor="text1"/>
        </w:rPr>
      </w:pPr>
      <w:r w:rsidRPr="00CB4176">
        <w:rPr>
          <w:b/>
          <w:color w:val="000000" w:themeColor="text1"/>
        </w:rPr>
        <w:t>Refusal of Applications</w:t>
      </w:r>
    </w:p>
    <w:p w14:paraId="5AF42633" w14:textId="77777777" w:rsidR="002B367B" w:rsidRPr="004C3963" w:rsidRDefault="002B367B" w:rsidP="006C2068">
      <w:pPr>
        <w:rPr>
          <w:color w:val="000000" w:themeColor="text1"/>
          <w:sz w:val="20"/>
          <w:szCs w:val="20"/>
        </w:rPr>
      </w:pPr>
      <w:r>
        <w:rPr>
          <w:color w:val="0B0C0C"/>
          <w:shd w:val="clear" w:color="auto" w:fill="FFFFFF"/>
        </w:rPr>
        <w:t xml:space="preserve">If the site is deemed unsuitable for a Pavement licence, or if relevant representations are made which cannot be mitigated by imposing conditions, then the application may be refused.  </w:t>
      </w:r>
      <w:r w:rsidRPr="004C3963">
        <w:rPr>
          <w:color w:val="0B0C0C"/>
          <w:shd w:val="clear" w:color="auto" w:fill="FFFFFF"/>
        </w:rPr>
        <w:t xml:space="preserve">There is no statutory appeal process </w:t>
      </w:r>
      <w:r>
        <w:rPr>
          <w:color w:val="0B0C0C"/>
          <w:shd w:val="clear" w:color="auto" w:fill="FFFFFF"/>
        </w:rPr>
        <w:t>against</w:t>
      </w:r>
      <w:r w:rsidRPr="004C3963">
        <w:rPr>
          <w:color w:val="0B0C0C"/>
          <w:shd w:val="clear" w:color="auto" w:fill="FFFFFF"/>
        </w:rPr>
        <w:t xml:space="preserve"> </w:t>
      </w:r>
      <w:r>
        <w:rPr>
          <w:color w:val="0B0C0C"/>
          <w:shd w:val="clear" w:color="auto" w:fill="FFFFFF"/>
        </w:rPr>
        <w:t xml:space="preserve">a </w:t>
      </w:r>
      <w:r w:rsidRPr="004C3963">
        <w:rPr>
          <w:color w:val="0B0C0C"/>
          <w:shd w:val="clear" w:color="auto" w:fill="FFFFFF"/>
        </w:rPr>
        <w:t>decision</w:t>
      </w:r>
      <w:r>
        <w:rPr>
          <w:color w:val="0B0C0C"/>
          <w:shd w:val="clear" w:color="auto" w:fill="FFFFFF"/>
        </w:rPr>
        <w:t xml:space="preserve"> to refuse an application</w:t>
      </w:r>
      <w:r w:rsidRPr="004C3963">
        <w:rPr>
          <w:color w:val="0B0C0C"/>
          <w:shd w:val="clear" w:color="auto" w:fill="FFFFFF"/>
        </w:rPr>
        <w:t>.</w:t>
      </w:r>
    </w:p>
    <w:p w14:paraId="636A4C11" w14:textId="77777777" w:rsidR="002B367B" w:rsidRDefault="002B367B" w:rsidP="006C2068">
      <w:pPr>
        <w:rPr>
          <w:b/>
          <w:bCs/>
          <w:color w:val="000000" w:themeColor="text1"/>
        </w:rPr>
      </w:pPr>
    </w:p>
    <w:p w14:paraId="7FF50456" w14:textId="77777777" w:rsidR="002B367B" w:rsidRPr="001E4332" w:rsidRDefault="002B367B" w:rsidP="006C2068">
      <w:pPr>
        <w:rPr>
          <w:b/>
          <w:bCs/>
          <w:color w:val="000000" w:themeColor="text1"/>
        </w:rPr>
      </w:pPr>
      <w:r w:rsidRPr="001E4332">
        <w:rPr>
          <w:b/>
          <w:bCs/>
          <w:color w:val="000000" w:themeColor="text1"/>
        </w:rPr>
        <w:t>Conditions</w:t>
      </w:r>
    </w:p>
    <w:p w14:paraId="75B4411D" w14:textId="7C88CEBB" w:rsidR="00CB4176" w:rsidRPr="00211AF7" w:rsidRDefault="00CB4176" w:rsidP="006C2068">
      <w:r w:rsidRPr="00211AF7">
        <w:t>A copy of the Council’s standard</w:t>
      </w:r>
      <w:r>
        <w:t xml:space="preserve"> </w:t>
      </w:r>
      <w:r w:rsidRPr="00211AF7">
        <w:t xml:space="preserve">conditions, which will be attached to </w:t>
      </w:r>
      <w:r>
        <w:t xml:space="preserve">all Pavement Café Licences </w:t>
      </w:r>
      <w:r w:rsidRPr="00211AF7">
        <w:t xml:space="preserve">are </w:t>
      </w:r>
      <w:r>
        <w:t xml:space="preserve">available </w:t>
      </w:r>
      <w:r w:rsidR="00A7235C">
        <w:t>in Appendix 1 of this document</w:t>
      </w:r>
      <w:r w:rsidRPr="00211AF7">
        <w:t xml:space="preserve">. </w:t>
      </w:r>
      <w:r>
        <w:t xml:space="preserve"> </w:t>
      </w:r>
      <w:r w:rsidRPr="00211AF7">
        <w:t>Additional conditions may be attached if the Council considers it</w:t>
      </w:r>
      <w:r>
        <w:t xml:space="preserve"> </w:t>
      </w:r>
      <w:r w:rsidRPr="00211AF7">
        <w:t xml:space="preserve">appropriate in the circumstances of any </w:t>
      </w:r>
      <w:proofErr w:type="gramStart"/>
      <w:r w:rsidRPr="00211AF7">
        <w:t>particular case</w:t>
      </w:r>
      <w:proofErr w:type="gramEnd"/>
      <w:r w:rsidRPr="00211AF7">
        <w:t>.</w:t>
      </w:r>
      <w:r>
        <w:t xml:space="preserve"> </w:t>
      </w:r>
      <w:r w:rsidRPr="00211AF7">
        <w:t xml:space="preserve">The Council generally will only permit </w:t>
      </w:r>
      <w:r>
        <w:t xml:space="preserve">Pavement licences </w:t>
      </w:r>
      <w:r w:rsidRPr="00211AF7">
        <w:t>between 0</w:t>
      </w:r>
      <w:r>
        <w:t>8</w:t>
      </w:r>
      <w:r w:rsidRPr="00211AF7">
        <w:t xml:space="preserve">:00 and </w:t>
      </w:r>
      <w:r>
        <w:t>22</w:t>
      </w:r>
      <w:r w:rsidRPr="00211AF7">
        <w:t>:00.</w:t>
      </w:r>
      <w:r>
        <w:t xml:space="preserve"> Applications </w:t>
      </w:r>
      <w:r w:rsidRPr="00211AF7">
        <w:t>outside these hours will be assessed in terms of the criteria</w:t>
      </w:r>
      <w:r>
        <w:t xml:space="preserve"> </w:t>
      </w:r>
      <w:r w:rsidRPr="00211AF7">
        <w:t>detailed above. The Council however retains the right to specify permitted</w:t>
      </w:r>
      <w:r>
        <w:t xml:space="preserve"> </w:t>
      </w:r>
      <w:r w:rsidRPr="00211AF7">
        <w:t>hours of trading that are less than those specified above in appropriate</w:t>
      </w:r>
      <w:r>
        <w:t xml:space="preserve"> </w:t>
      </w:r>
      <w:r w:rsidRPr="00211AF7">
        <w:t>circumstances.</w:t>
      </w:r>
      <w:r>
        <w:t xml:space="preserve"> </w:t>
      </w:r>
    </w:p>
    <w:p w14:paraId="1F32E8B4" w14:textId="387CBD3C" w:rsidR="002B367B" w:rsidRDefault="002B367B" w:rsidP="006C2068">
      <w:pPr>
        <w:rPr>
          <w:color w:val="0B0C0C"/>
          <w:shd w:val="clear" w:color="auto" w:fill="FFFFFF"/>
        </w:rPr>
      </w:pPr>
      <w:r>
        <w:rPr>
          <w:color w:val="0B0C0C"/>
          <w:shd w:val="clear" w:color="auto" w:fill="FFFFFF"/>
        </w:rPr>
        <w:t>T</w:t>
      </w:r>
      <w:r w:rsidRPr="00E846E7">
        <w:rPr>
          <w:color w:val="0B0C0C"/>
          <w:shd w:val="clear" w:color="auto" w:fill="FFFFFF"/>
        </w:rPr>
        <w:t xml:space="preserve">he </w:t>
      </w:r>
      <w:r>
        <w:rPr>
          <w:color w:val="0B0C0C"/>
          <w:shd w:val="clear" w:color="auto" w:fill="FFFFFF"/>
        </w:rPr>
        <w:t>national</w:t>
      </w:r>
      <w:r w:rsidRPr="00E846E7">
        <w:rPr>
          <w:color w:val="0B0C0C"/>
          <w:shd w:val="clear" w:color="auto" w:fill="FFFFFF"/>
        </w:rPr>
        <w:t xml:space="preserve"> no-obstruction condition </w:t>
      </w:r>
      <w:r>
        <w:rPr>
          <w:color w:val="0B0C0C"/>
          <w:shd w:val="clear" w:color="auto" w:fill="FFFFFF"/>
        </w:rPr>
        <w:t xml:space="preserve">applies to all Licences.  The National ‘no obstruction condition is shown in Appendix </w:t>
      </w:r>
      <w:r w:rsidR="00A7235C">
        <w:rPr>
          <w:color w:val="0B0C0C"/>
          <w:shd w:val="clear" w:color="auto" w:fill="FFFFFF"/>
        </w:rPr>
        <w:t>2</w:t>
      </w:r>
      <w:r>
        <w:rPr>
          <w:color w:val="0B0C0C"/>
          <w:shd w:val="clear" w:color="auto" w:fill="FFFFFF"/>
        </w:rPr>
        <w:t>.</w:t>
      </w:r>
    </w:p>
    <w:p w14:paraId="7F15FBE8" w14:textId="77777777" w:rsidR="002B367B" w:rsidRDefault="002B367B" w:rsidP="006C2068">
      <w:pPr>
        <w:rPr>
          <w:color w:val="0B0C0C"/>
          <w:shd w:val="clear" w:color="auto" w:fill="FFFFFF"/>
        </w:rPr>
      </w:pPr>
    </w:p>
    <w:p w14:paraId="096DEE2B" w14:textId="77777777" w:rsidR="002B367B" w:rsidRPr="001E4332" w:rsidRDefault="002B367B" w:rsidP="006C2068">
      <w:pPr>
        <w:rPr>
          <w:b/>
          <w:bCs/>
        </w:rPr>
      </w:pPr>
      <w:r w:rsidRPr="001E4332">
        <w:rPr>
          <w:b/>
          <w:bCs/>
        </w:rPr>
        <w:t>Enforcement</w:t>
      </w:r>
    </w:p>
    <w:p w14:paraId="595696E6" w14:textId="77777777" w:rsidR="002B367B" w:rsidRPr="003433CC" w:rsidRDefault="002B367B" w:rsidP="006C2068">
      <w:pPr>
        <w:rPr>
          <w:color w:val="000000" w:themeColor="text1"/>
        </w:rPr>
      </w:pPr>
      <w:r>
        <w:rPr>
          <w:rFonts w:ascii="Helvetica" w:hAnsi="Helvetica" w:cs="Helvetica"/>
        </w:rPr>
        <w:t>The Council aims to work closely with other enforcement authorities to enforce the provisions of all appropriate legislation.  The case remains that a</w:t>
      </w:r>
      <w:r w:rsidRPr="003433CC">
        <w:rPr>
          <w:color w:val="000000" w:themeColor="text1"/>
        </w:rPr>
        <w:t xml:space="preserve">n obstruction of the Highway is an offence under The Highways Act 1980 and will be dealt with by the Highways Authority or the Police. </w:t>
      </w:r>
    </w:p>
    <w:p w14:paraId="69E7E6FE" w14:textId="77777777" w:rsidR="002B367B" w:rsidRDefault="002B367B" w:rsidP="006C2068">
      <w:pPr>
        <w:rPr>
          <w:rFonts w:ascii="Helvetica" w:hAnsi="Helvetica" w:cs="Helvetica"/>
        </w:rPr>
      </w:pPr>
    </w:p>
    <w:p w14:paraId="00959EA1" w14:textId="77777777" w:rsidR="002B367B" w:rsidRDefault="002B367B" w:rsidP="006C2068">
      <w:pPr>
        <w:rPr>
          <w:rFonts w:ascii="Helvetica" w:hAnsi="Helvetica" w:cs="Helvetica"/>
        </w:rPr>
      </w:pPr>
      <w:r>
        <w:rPr>
          <w:rFonts w:ascii="Helvetica" w:hAnsi="Helvetica" w:cs="Helvetica"/>
        </w:rPr>
        <w:t xml:space="preserve">Obtaining a Consent does not confer the holder immunity </w:t>
      </w:r>
      <w:proofErr w:type="gramStart"/>
      <w:r>
        <w:rPr>
          <w:rFonts w:ascii="Helvetica" w:hAnsi="Helvetica" w:cs="Helvetica"/>
        </w:rPr>
        <w:t>in regard to</w:t>
      </w:r>
      <w:proofErr w:type="gramEnd"/>
      <w:r>
        <w:rPr>
          <w:rFonts w:ascii="Helvetica" w:hAnsi="Helvetica" w:cs="Helvetica"/>
        </w:rPr>
        <w:t xml:space="preserve"> other legislation that may apply, e.g. Public Liability, Health &amp; Safety at Work, Food Hygiene and Safety, Alcohol and Entertainment Licensing, and </w:t>
      </w:r>
      <w:proofErr w:type="gramStart"/>
      <w:r>
        <w:rPr>
          <w:rFonts w:ascii="Helvetica" w:hAnsi="Helvetica" w:cs="Helvetica"/>
        </w:rPr>
        <w:t>Social</w:t>
      </w:r>
      <w:proofErr w:type="gramEnd"/>
      <w:r>
        <w:rPr>
          <w:rFonts w:ascii="Helvetica" w:hAnsi="Helvetica" w:cs="Helvetica"/>
        </w:rPr>
        <w:t xml:space="preserve"> distancing controls, and applicants must ensure all such permissions, etc. are in place prior to operating.</w:t>
      </w:r>
    </w:p>
    <w:p w14:paraId="06F33FBD" w14:textId="77777777" w:rsidR="002B367B" w:rsidRDefault="002B367B" w:rsidP="006C2068"/>
    <w:p w14:paraId="3CE0E072" w14:textId="77777777" w:rsidR="002B367B" w:rsidRDefault="002B367B" w:rsidP="006C2068">
      <w:r w:rsidRPr="00E846E7">
        <w:lastRenderedPageBreak/>
        <w:t xml:space="preserve">If a condition imposed on a licence either by the </w:t>
      </w:r>
      <w:r>
        <w:t xml:space="preserve">Council </w:t>
      </w:r>
      <w:r w:rsidRPr="00E846E7">
        <w:t xml:space="preserve">or </w:t>
      </w:r>
      <w:r>
        <w:t>via a N</w:t>
      </w:r>
      <w:r w:rsidRPr="00E846E7">
        <w:t>ational</w:t>
      </w:r>
      <w:r>
        <w:t xml:space="preserve"> Condition</w:t>
      </w:r>
      <w:r w:rsidRPr="00E846E7">
        <w:t xml:space="preserve"> is breached the </w:t>
      </w:r>
      <w:r>
        <w:t>Council</w:t>
      </w:r>
      <w:r w:rsidRPr="00E846E7">
        <w:t xml:space="preserve"> will be able to issue a notice requiring the breach to be remedied</w:t>
      </w:r>
      <w:r>
        <w:t>.</w:t>
      </w:r>
      <w:r w:rsidRPr="00E846E7">
        <w:t xml:space="preserve"> </w:t>
      </w:r>
      <w:r>
        <w:t>If the notice is not complied with, the Council may revoke the licence or take the required steps itself and recover the costs of doing so.</w:t>
      </w:r>
    </w:p>
    <w:p w14:paraId="1A0F4FE5" w14:textId="77777777" w:rsidR="002B367B" w:rsidRDefault="002B367B" w:rsidP="006C2068"/>
    <w:p w14:paraId="5878B139" w14:textId="77777777" w:rsidR="002B367B" w:rsidRPr="00E846E7" w:rsidRDefault="002B367B" w:rsidP="006C2068">
      <w:r w:rsidRPr="00E846E7">
        <w:t>The authority may revoke a licence in the following circumstances:</w:t>
      </w:r>
    </w:p>
    <w:p w14:paraId="2933B7EB" w14:textId="77777777" w:rsidR="002B367B" w:rsidRPr="00E846E7" w:rsidRDefault="002B367B" w:rsidP="006C2068">
      <w:pPr>
        <w:pStyle w:val="ListParagraph"/>
        <w:numPr>
          <w:ilvl w:val="0"/>
          <w:numId w:val="7"/>
        </w:numPr>
        <w:rPr>
          <w:lang w:eastAsia="en-GB"/>
        </w:rPr>
      </w:pPr>
      <w:r w:rsidRPr="00E846E7">
        <w:rPr>
          <w:lang w:eastAsia="en-GB"/>
        </w:rPr>
        <w:t>For breach of condition, (</w:t>
      </w:r>
      <w:proofErr w:type="gramStart"/>
      <w:r w:rsidRPr="00E846E7">
        <w:rPr>
          <w:lang w:eastAsia="en-GB"/>
        </w:rPr>
        <w:t>whether or not</w:t>
      </w:r>
      <w:proofErr w:type="gramEnd"/>
      <w:r w:rsidRPr="00E846E7">
        <w:rPr>
          <w:lang w:eastAsia="en-GB"/>
        </w:rPr>
        <w:t xml:space="preserve"> a remediation notice has been issued) or</w:t>
      </w:r>
    </w:p>
    <w:p w14:paraId="40236E8A" w14:textId="77777777" w:rsidR="002B367B" w:rsidRPr="00E846E7" w:rsidRDefault="002B367B" w:rsidP="006C2068">
      <w:pPr>
        <w:pStyle w:val="ListParagraph"/>
        <w:numPr>
          <w:ilvl w:val="0"/>
          <w:numId w:val="7"/>
        </w:numPr>
        <w:rPr>
          <w:lang w:eastAsia="en-GB"/>
        </w:rPr>
      </w:pPr>
      <w:r w:rsidRPr="00E846E7">
        <w:rPr>
          <w:lang w:eastAsia="en-GB"/>
        </w:rPr>
        <w:t>Where:</w:t>
      </w:r>
    </w:p>
    <w:p w14:paraId="2A547881" w14:textId="77777777" w:rsidR="002B367B" w:rsidRPr="00E846E7" w:rsidRDefault="002B367B" w:rsidP="006C2068">
      <w:pPr>
        <w:pStyle w:val="ListParagraph"/>
        <w:numPr>
          <w:ilvl w:val="0"/>
          <w:numId w:val="8"/>
        </w:numPr>
        <w:rPr>
          <w:lang w:eastAsia="en-GB"/>
        </w:rPr>
      </w:pPr>
      <w:r w:rsidRPr="00E846E7">
        <w:rPr>
          <w:lang w:eastAsia="en-GB"/>
        </w:rPr>
        <w:t xml:space="preserve">There are risks to public health or safety – for example by encouraging users to breach government guidance on social distancing by placing tables and chairs too close </w:t>
      </w:r>
      <w:proofErr w:type="gramStart"/>
      <w:r w:rsidRPr="00E846E7">
        <w:rPr>
          <w:lang w:eastAsia="en-GB"/>
        </w:rPr>
        <w:t>together;</w:t>
      </w:r>
      <w:proofErr w:type="gramEnd"/>
    </w:p>
    <w:p w14:paraId="059FB493" w14:textId="77777777" w:rsidR="002B367B" w:rsidRPr="00E846E7" w:rsidRDefault="002B367B" w:rsidP="006C2068">
      <w:pPr>
        <w:pStyle w:val="ListParagraph"/>
        <w:numPr>
          <w:ilvl w:val="0"/>
          <w:numId w:val="8"/>
        </w:numPr>
        <w:rPr>
          <w:lang w:eastAsia="en-GB"/>
        </w:rPr>
      </w:pPr>
      <w:r w:rsidRPr="00E846E7">
        <w:rPr>
          <w:lang w:eastAsia="en-GB"/>
        </w:rPr>
        <w:t>the highway is being obstructed (other than by anything permitted by the licence</w:t>
      </w:r>
      <w:proofErr w:type="gramStart"/>
      <w:r w:rsidRPr="00E846E7">
        <w:rPr>
          <w:lang w:eastAsia="en-GB"/>
        </w:rPr>
        <w:t>);</w:t>
      </w:r>
      <w:proofErr w:type="gramEnd"/>
    </w:p>
    <w:p w14:paraId="5ADF185C" w14:textId="77777777" w:rsidR="002B367B" w:rsidRPr="00E846E7" w:rsidRDefault="002B367B" w:rsidP="006C2068">
      <w:pPr>
        <w:pStyle w:val="ListParagraph"/>
        <w:numPr>
          <w:ilvl w:val="0"/>
          <w:numId w:val="8"/>
        </w:numPr>
        <w:rPr>
          <w:lang w:eastAsia="en-GB"/>
        </w:rPr>
      </w:pPr>
      <w:r w:rsidRPr="00E846E7">
        <w:rPr>
          <w:lang w:eastAsia="en-GB"/>
        </w:rPr>
        <w:t xml:space="preserve">there is anti-social behaviour or public nuisance – for example, the use is increasing the amount of noise generated late at night </w:t>
      </w:r>
      <w:r>
        <w:rPr>
          <w:lang w:eastAsia="en-GB"/>
        </w:rPr>
        <w:t>or</w:t>
      </w:r>
      <w:r w:rsidRPr="00E846E7">
        <w:rPr>
          <w:lang w:eastAsia="en-GB"/>
        </w:rPr>
        <w:t xml:space="preserve"> litter is not being cleaned </w:t>
      </w:r>
      <w:proofErr w:type="gramStart"/>
      <w:r w:rsidRPr="00E846E7">
        <w:rPr>
          <w:lang w:eastAsia="en-GB"/>
        </w:rPr>
        <w:t>up;</w:t>
      </w:r>
      <w:proofErr w:type="gramEnd"/>
    </w:p>
    <w:p w14:paraId="3BB65AA9" w14:textId="77777777" w:rsidR="002B367B" w:rsidRPr="00E846E7" w:rsidRDefault="002B367B" w:rsidP="006C2068">
      <w:pPr>
        <w:pStyle w:val="ListParagraph"/>
        <w:numPr>
          <w:ilvl w:val="0"/>
          <w:numId w:val="8"/>
        </w:numPr>
        <w:rPr>
          <w:lang w:eastAsia="en-GB"/>
        </w:rPr>
      </w:pPr>
      <w:r w:rsidRPr="00E846E7">
        <w:rPr>
          <w:lang w:eastAsia="en-GB"/>
        </w:rPr>
        <w:t>it comes to light that the applicant provided false or misleading statements in their application – for example they are operating a stall selling hot food and had applied for tables and chairs on which drinks could be consumed; or</w:t>
      </w:r>
    </w:p>
    <w:p w14:paraId="5DC0EC0B" w14:textId="77777777" w:rsidR="002B367B" w:rsidRPr="00E846E7" w:rsidRDefault="002B367B" w:rsidP="006C2068">
      <w:pPr>
        <w:pStyle w:val="ListParagraph"/>
        <w:numPr>
          <w:ilvl w:val="0"/>
          <w:numId w:val="8"/>
        </w:numPr>
        <w:rPr>
          <w:lang w:eastAsia="en-GB"/>
        </w:rPr>
      </w:pPr>
      <w:r w:rsidRPr="00E846E7">
        <w:rPr>
          <w:lang w:eastAsia="en-GB"/>
        </w:rPr>
        <w:t>the applicant did not comply with the requirement to affix the notice to notify the public for the relevant period.</w:t>
      </w:r>
    </w:p>
    <w:p w14:paraId="4D2C5C5A" w14:textId="77777777" w:rsidR="002B367B" w:rsidRPr="00E846E7" w:rsidRDefault="002B367B" w:rsidP="006C2068">
      <w:pPr>
        <w:pStyle w:val="ListParagraph"/>
        <w:numPr>
          <w:ilvl w:val="0"/>
          <w:numId w:val="7"/>
        </w:numPr>
        <w:rPr>
          <w:lang w:eastAsia="en-GB"/>
        </w:rPr>
      </w:pPr>
      <w:r w:rsidRPr="00E846E7">
        <w:rPr>
          <w:lang w:eastAsia="en-GB"/>
        </w:rPr>
        <w:t xml:space="preserve">The </w:t>
      </w:r>
      <w:r>
        <w:rPr>
          <w:lang w:eastAsia="en-GB"/>
        </w:rPr>
        <w:t>Council</w:t>
      </w:r>
      <w:r w:rsidRPr="00E846E7">
        <w:rPr>
          <w:lang w:eastAsia="en-GB"/>
        </w:rPr>
        <w:t xml:space="preserve"> may also revoke the licence where all or any part of the area of the relevant highway to which the licence relates has become unsuitable for any purpose for which the licence was granted or deemed to be granted. </w:t>
      </w:r>
      <w:r>
        <w:rPr>
          <w:lang w:eastAsia="en-GB"/>
        </w:rPr>
        <w:t xml:space="preserve"> </w:t>
      </w:r>
      <w:r w:rsidRPr="00E846E7">
        <w:rPr>
          <w:lang w:eastAsia="en-GB"/>
        </w:rPr>
        <w:t xml:space="preserve">For example, the licensed area (or road adjacent) is no longer to be pedestrianised. </w:t>
      </w:r>
      <w:r>
        <w:rPr>
          <w:lang w:eastAsia="en-GB"/>
        </w:rPr>
        <w:t xml:space="preserve"> The Council will</w:t>
      </w:r>
      <w:r w:rsidRPr="00E846E7">
        <w:rPr>
          <w:lang w:eastAsia="en-GB"/>
        </w:rPr>
        <w:t xml:space="preserve"> give reasons where these powers are used.</w:t>
      </w:r>
    </w:p>
    <w:p w14:paraId="39DFDA4A" w14:textId="481EF26B" w:rsidR="007B54EF" w:rsidRDefault="007B54EF" w:rsidP="006C2068">
      <w:r>
        <w:br w:type="page"/>
      </w:r>
    </w:p>
    <w:p w14:paraId="6646C7EA" w14:textId="00530074" w:rsidR="002B367B" w:rsidRDefault="007B54EF" w:rsidP="006C2068">
      <w:pPr>
        <w:rPr>
          <w:b/>
        </w:rPr>
      </w:pPr>
      <w:r>
        <w:rPr>
          <w:b/>
        </w:rPr>
        <w:lastRenderedPageBreak/>
        <w:t>Appendix 1</w:t>
      </w:r>
    </w:p>
    <w:p w14:paraId="11A60849" w14:textId="77777777" w:rsidR="007B54EF" w:rsidRDefault="007B54EF" w:rsidP="006C2068">
      <w:pPr>
        <w:rPr>
          <w:b/>
          <w:bCs/>
        </w:rPr>
      </w:pPr>
      <w:r>
        <w:rPr>
          <w:b/>
          <w:bCs/>
        </w:rPr>
        <w:t xml:space="preserve">Standard Pavement Licence Conditions </w:t>
      </w:r>
    </w:p>
    <w:p w14:paraId="2998A3AD" w14:textId="77777777" w:rsidR="007B54EF" w:rsidRDefault="007B54EF" w:rsidP="006C2068"/>
    <w:p w14:paraId="5FCBDE71" w14:textId="77777777" w:rsidR="007B54EF" w:rsidRDefault="007B54EF" w:rsidP="006C2068">
      <w:pPr>
        <w:pStyle w:val="ListParagraph"/>
        <w:numPr>
          <w:ilvl w:val="0"/>
          <w:numId w:val="9"/>
        </w:numPr>
        <w:ind w:left="360"/>
        <w:rPr>
          <w:rFonts w:eastAsia="Times New Roman"/>
          <w:lang w:eastAsia="en-GB"/>
        </w:rPr>
      </w:pPr>
      <w:r>
        <w:rPr>
          <w:rFonts w:eastAsia="Times New Roman"/>
          <w:lang w:eastAsia="en-GB"/>
        </w:rPr>
        <w:t xml:space="preserve">Permission to operate a pavement café does not imply an exclusive right to the area of public highway.  The licence holder must be aware that Test Valley Borough Council and others (e.g. police, highways authority, statutory undertakers) will need access at various times (including emergencies) for maintenance, installation, special events, improvements, etc. or any other reasonable cause and it is a condition of this licence to provide such access.  This may mean that the pavement licence will need to cease operating and/or be removed for </w:t>
      </w:r>
      <w:proofErr w:type="gramStart"/>
      <w:r>
        <w:rPr>
          <w:rFonts w:eastAsia="Times New Roman"/>
          <w:lang w:eastAsia="en-GB"/>
        </w:rPr>
        <w:t>a period of time</w:t>
      </w:r>
      <w:proofErr w:type="gramEnd"/>
      <w:r>
        <w:rPr>
          <w:rFonts w:eastAsia="Times New Roman"/>
          <w:lang w:eastAsia="en-GB"/>
        </w:rPr>
        <w:t>.  On these occasions there would be no compensation for loss of business.</w:t>
      </w:r>
    </w:p>
    <w:p w14:paraId="2B21708A" w14:textId="77777777" w:rsidR="007B54EF" w:rsidRDefault="007B54EF" w:rsidP="006C2068"/>
    <w:p w14:paraId="3CE72FA8" w14:textId="58AADBF6" w:rsidR="007B54EF" w:rsidRDefault="007B54EF" w:rsidP="006C2068">
      <w:pPr>
        <w:pStyle w:val="ListParagraph"/>
        <w:numPr>
          <w:ilvl w:val="0"/>
          <w:numId w:val="9"/>
        </w:numPr>
        <w:ind w:left="360"/>
        <w:rPr>
          <w:rFonts w:eastAsia="Times New Roman"/>
          <w:lang w:eastAsia="en-GB"/>
        </w:rPr>
      </w:pPr>
      <w:r>
        <w:rPr>
          <w:rFonts w:eastAsia="Times New Roman"/>
          <w:lang w:eastAsia="en-GB"/>
        </w:rPr>
        <w:t xml:space="preserve">The licence holder must hold Public Liability Insurance for the operation of the Pavement Café.  This must indemnify Test Valley Borough Council and </w:t>
      </w:r>
      <w:r w:rsidR="004A13D9">
        <w:rPr>
          <w:rFonts w:eastAsia="Times New Roman"/>
          <w:lang w:eastAsia="en-GB"/>
        </w:rPr>
        <w:t>Hampshire County</w:t>
      </w:r>
      <w:r>
        <w:rPr>
          <w:rFonts w:eastAsia="Times New Roman"/>
          <w:lang w:eastAsia="en-GB"/>
        </w:rPr>
        <w:t xml:space="preserve"> Council against all claims for injury, damage or loss to users of the public highway, arising from the use of the highway for the permitted purpose.  The minimum level of indemnity must be £5 million in respect of any one incident.  Evidence of the insurance must be provided to Test Valley Borough Council on request.</w:t>
      </w:r>
    </w:p>
    <w:p w14:paraId="0C1C0B7D" w14:textId="77777777" w:rsidR="007B54EF" w:rsidRDefault="007B54EF" w:rsidP="006C2068"/>
    <w:p w14:paraId="2AF16A84" w14:textId="1721A0A1" w:rsidR="007B54EF" w:rsidRDefault="007B54EF" w:rsidP="006C2068">
      <w:pPr>
        <w:pStyle w:val="ListParagraph"/>
        <w:numPr>
          <w:ilvl w:val="0"/>
          <w:numId w:val="9"/>
        </w:numPr>
        <w:ind w:left="360"/>
      </w:pPr>
      <w:r>
        <w:t xml:space="preserve">Tables and chairs must not be placed in position outside of the permitted times stated on the licence.  When the licence is not in use, all tables and chairs and other furniture must be stored securely </w:t>
      </w:r>
      <w:r w:rsidR="004A13D9">
        <w:t>inside premises</w:t>
      </w:r>
      <w:r>
        <w:t xml:space="preserve"> away from the highway.</w:t>
      </w:r>
    </w:p>
    <w:p w14:paraId="0A9014F6" w14:textId="77777777" w:rsidR="007B54EF" w:rsidRDefault="007B54EF" w:rsidP="006C2068"/>
    <w:p w14:paraId="5480CE06" w14:textId="77777777" w:rsidR="007B54EF" w:rsidRDefault="007B54EF" w:rsidP="006C2068">
      <w:pPr>
        <w:pStyle w:val="ListParagraph"/>
        <w:numPr>
          <w:ilvl w:val="0"/>
          <w:numId w:val="9"/>
        </w:numPr>
        <w:ind w:left="360"/>
        <w:rPr>
          <w:rFonts w:eastAsia="Times New Roman"/>
          <w:lang w:eastAsia="en-GB"/>
        </w:rPr>
      </w:pPr>
      <w:r>
        <w:rPr>
          <w:rFonts w:eastAsia="Times New Roman"/>
          <w:lang w:eastAsia="en-GB"/>
        </w:rPr>
        <w:t>Test Valley Borough Council and/or Hampshire County Council are empowered following the service of the appropriate statutory notice, to remove and store or dispose of furniture from the highway, at the cost of the licensee, if it is left there outside the permitted hours, or should any conditions of the licence be ignored.  The Council will not be responsible for its safekeeping.</w:t>
      </w:r>
    </w:p>
    <w:p w14:paraId="6C6C9FE8" w14:textId="77777777" w:rsidR="007B54EF" w:rsidRDefault="007B54EF" w:rsidP="006C2068"/>
    <w:p w14:paraId="1E3F7E6B" w14:textId="77777777" w:rsidR="007B54EF" w:rsidRDefault="007B54EF" w:rsidP="006C2068">
      <w:pPr>
        <w:pStyle w:val="ListParagraph"/>
        <w:numPr>
          <w:ilvl w:val="0"/>
          <w:numId w:val="9"/>
        </w:numPr>
        <w:ind w:left="360"/>
      </w:pPr>
      <w:r>
        <w:rPr>
          <w:rFonts w:eastAsia="Times New Roman"/>
          <w:lang w:eastAsia="en-GB"/>
        </w:rPr>
        <w:t xml:space="preserve">An unimpeded pedestrian route must be </w:t>
      </w:r>
      <w:proofErr w:type="gramStart"/>
      <w:r>
        <w:rPr>
          <w:rFonts w:eastAsia="Times New Roman"/>
          <w:lang w:eastAsia="en-GB"/>
        </w:rPr>
        <w:t>maintained at all times</w:t>
      </w:r>
      <w:proofErr w:type="gramEnd"/>
      <w:r>
        <w:rPr>
          <w:rFonts w:eastAsia="Times New Roman"/>
          <w:lang w:eastAsia="en-GB"/>
        </w:rPr>
        <w:t xml:space="preserve"> for people wishing to use the footway as per the National Licence Conditions.</w:t>
      </w:r>
      <w:r>
        <w:t xml:space="preserve">  </w:t>
      </w:r>
    </w:p>
    <w:p w14:paraId="04E1A15F" w14:textId="77777777" w:rsidR="007B54EF" w:rsidRDefault="007B54EF" w:rsidP="006C2068"/>
    <w:p w14:paraId="5EF86C76" w14:textId="77777777" w:rsidR="007B54EF" w:rsidRDefault="007B54EF" w:rsidP="006C2068">
      <w:pPr>
        <w:pStyle w:val="ListParagraph"/>
        <w:numPr>
          <w:ilvl w:val="0"/>
          <w:numId w:val="9"/>
        </w:numPr>
        <w:ind w:left="360"/>
      </w:pPr>
      <w:r>
        <w:t xml:space="preserve">The method of marking the boundary of the licensed area must be agreed between the licence holder and the Licensing Team. Whatever method is agreed a minimum 1.5 metre clear walkway must be maintained for the use of pedestrians. </w:t>
      </w:r>
    </w:p>
    <w:p w14:paraId="7B65D87C" w14:textId="77777777" w:rsidR="007B54EF" w:rsidRDefault="007B54EF" w:rsidP="006C2068"/>
    <w:p w14:paraId="0D2F034A" w14:textId="77777777" w:rsidR="007B54EF" w:rsidRDefault="007B54EF" w:rsidP="006C2068">
      <w:pPr>
        <w:pStyle w:val="ListParagraph"/>
        <w:numPr>
          <w:ilvl w:val="0"/>
          <w:numId w:val="9"/>
        </w:numPr>
        <w:ind w:left="360"/>
        <w:rPr>
          <w:rFonts w:eastAsia="Times New Roman"/>
          <w:lang w:eastAsia="en-GB"/>
        </w:rPr>
      </w:pPr>
      <w:r>
        <w:rPr>
          <w:rFonts w:eastAsia="Times New Roman"/>
          <w:lang w:eastAsia="en-GB"/>
        </w:rPr>
        <w:t>Emergency routes to the premises and adjacent buildings must not be obstructed by the Pavement Café, which should not, unless otherwise agreed, extend beyond the width of the premises frontage.</w:t>
      </w:r>
    </w:p>
    <w:p w14:paraId="5F9DD31F" w14:textId="77777777" w:rsidR="007B54EF" w:rsidRDefault="007B54EF" w:rsidP="006C2068"/>
    <w:p w14:paraId="44B930AA" w14:textId="77777777" w:rsidR="007B54EF" w:rsidRDefault="007B54EF" w:rsidP="006C2068">
      <w:pPr>
        <w:pStyle w:val="ListParagraph"/>
        <w:numPr>
          <w:ilvl w:val="0"/>
          <w:numId w:val="9"/>
        </w:numPr>
        <w:ind w:left="360"/>
        <w:rPr>
          <w:rFonts w:eastAsia="Times New Roman"/>
          <w:lang w:eastAsia="en-GB"/>
        </w:rPr>
      </w:pPr>
      <w:r>
        <w:rPr>
          <w:rFonts w:eastAsia="Times New Roman"/>
          <w:lang w:eastAsia="en-GB"/>
        </w:rPr>
        <w:t xml:space="preserve">Tables and chairs should be of an approved type and should be kept in a good state of repair.  Furniture should be placed so as not to obstruct driver’s sightlines, or road traffic signs.  Placement of tables and chairs must allow pedestrians to use the footway parallel to the frontage of the premises.  Care should be taken in the use of hanging baskets, awnings, protruding umbrellas etc.  </w:t>
      </w:r>
      <w:r>
        <w:t xml:space="preserve">Alternative items may not be used without first seeking the written authority of the Council.  </w:t>
      </w:r>
      <w:r>
        <w:rPr>
          <w:rFonts w:eastAsia="Times New Roman"/>
          <w:lang w:eastAsia="en-GB"/>
        </w:rPr>
        <w:t>Patio heaters must not be used.</w:t>
      </w:r>
    </w:p>
    <w:p w14:paraId="0F8CD2E3" w14:textId="77777777" w:rsidR="007B54EF" w:rsidRDefault="007B54EF" w:rsidP="006C2068"/>
    <w:p w14:paraId="2882FBE0" w14:textId="77777777" w:rsidR="007B54EF" w:rsidRDefault="007B54EF" w:rsidP="006C2068">
      <w:pPr>
        <w:pStyle w:val="ListParagraph"/>
        <w:numPr>
          <w:ilvl w:val="0"/>
          <w:numId w:val="9"/>
        </w:numPr>
        <w:ind w:left="360"/>
        <w:rPr>
          <w:rFonts w:eastAsia="Times New Roman"/>
          <w:lang w:eastAsia="en-GB"/>
        </w:rPr>
      </w:pPr>
      <w:r>
        <w:rPr>
          <w:rFonts w:eastAsia="Times New Roman"/>
          <w:lang w:eastAsia="en-GB"/>
        </w:rPr>
        <w:t>All potential obstructions must be removed from the public highway when the premises are closed to prevent a safety hazard to pedestrians, particularly during the hours of darkness.</w:t>
      </w:r>
    </w:p>
    <w:p w14:paraId="440576B3" w14:textId="77777777" w:rsidR="007B54EF" w:rsidRDefault="007B54EF" w:rsidP="006C2068"/>
    <w:p w14:paraId="20A77EF4" w14:textId="77777777" w:rsidR="007B54EF" w:rsidRDefault="007B54EF" w:rsidP="006C2068">
      <w:pPr>
        <w:pStyle w:val="ListParagraph"/>
        <w:numPr>
          <w:ilvl w:val="0"/>
          <w:numId w:val="9"/>
        </w:numPr>
        <w:ind w:left="360"/>
        <w:rPr>
          <w:rFonts w:eastAsia="Times New Roman"/>
          <w:lang w:eastAsia="en-GB"/>
        </w:rPr>
      </w:pPr>
      <w:r>
        <w:rPr>
          <w:rFonts w:eastAsia="Times New Roman"/>
          <w:lang w:eastAsia="en-GB"/>
        </w:rPr>
        <w:t xml:space="preserve">The licensee should ensure that the area operates in a safe and orderly manner, thereby ensuring that any safety risk or nuisance to customers, other users of the public highway </w:t>
      </w:r>
      <w:r>
        <w:t>or any adjacent land or premises,</w:t>
      </w:r>
      <w:r>
        <w:rPr>
          <w:rFonts w:eastAsia="Times New Roman"/>
          <w:lang w:eastAsia="en-GB"/>
        </w:rPr>
        <w:t xml:space="preserve"> is minimised.  </w:t>
      </w:r>
    </w:p>
    <w:p w14:paraId="54BE2CE2" w14:textId="77777777" w:rsidR="007B54EF" w:rsidRDefault="007B54EF" w:rsidP="006C2068"/>
    <w:p w14:paraId="1ECCB691" w14:textId="77777777" w:rsidR="007B54EF" w:rsidRDefault="007B54EF" w:rsidP="006C2068">
      <w:pPr>
        <w:pStyle w:val="ListParagraph"/>
        <w:numPr>
          <w:ilvl w:val="0"/>
          <w:numId w:val="9"/>
        </w:numPr>
        <w:ind w:left="360"/>
        <w:rPr>
          <w:rFonts w:eastAsia="Times New Roman"/>
          <w:lang w:eastAsia="en-GB"/>
        </w:rPr>
      </w:pPr>
      <w:r>
        <w:rPr>
          <w:rFonts w:eastAsia="Times New Roman"/>
          <w:lang w:eastAsia="en-GB"/>
        </w:rPr>
        <w:t>The operation of the area must not interfere with highway drainage arrangements.</w:t>
      </w:r>
    </w:p>
    <w:p w14:paraId="2E8491B3" w14:textId="77777777" w:rsidR="007B54EF" w:rsidRDefault="007B54EF" w:rsidP="006C2068"/>
    <w:p w14:paraId="2ED63C45" w14:textId="77777777" w:rsidR="007B54EF" w:rsidRDefault="007B54EF" w:rsidP="006C2068">
      <w:pPr>
        <w:pStyle w:val="ListParagraph"/>
        <w:numPr>
          <w:ilvl w:val="0"/>
          <w:numId w:val="9"/>
        </w:numPr>
        <w:ind w:left="360"/>
        <w:rPr>
          <w:rFonts w:eastAsia="Times New Roman"/>
          <w:lang w:eastAsia="en-GB"/>
        </w:rPr>
      </w:pPr>
      <w:r>
        <w:t xml:space="preserve">During the hours of darkness, suitable and sufficient lighting must be provided to ensure safe use of the area.  </w:t>
      </w:r>
      <w:r>
        <w:rPr>
          <w:rFonts w:eastAsia="Times New Roman"/>
          <w:lang w:eastAsia="en-GB"/>
        </w:rPr>
        <w:t>Any proposals to provide additional lighting to the licensed areas must be agreed with the Highway Authority.</w:t>
      </w:r>
    </w:p>
    <w:p w14:paraId="6BD2FE67" w14:textId="77777777" w:rsidR="007B54EF" w:rsidRDefault="007B54EF" w:rsidP="006C2068"/>
    <w:p w14:paraId="18769F5F" w14:textId="77777777" w:rsidR="007B54EF" w:rsidRDefault="007B54EF" w:rsidP="006C2068">
      <w:pPr>
        <w:pStyle w:val="ListParagraph"/>
        <w:numPr>
          <w:ilvl w:val="0"/>
          <w:numId w:val="9"/>
        </w:numPr>
        <w:ind w:left="360"/>
        <w:rPr>
          <w:rFonts w:eastAsia="Times New Roman"/>
          <w:lang w:eastAsia="en-GB"/>
        </w:rPr>
      </w:pPr>
      <w:r>
        <w:rPr>
          <w:rFonts w:eastAsia="Times New Roman"/>
          <w:lang w:eastAsia="en-GB"/>
        </w:rPr>
        <w:t xml:space="preserve">All detritus (food and drink remnants, spillages, bottles, cans, wrappers, etc.) must be regularly removed from the footway surface to reduce hazards to pedestrians.  </w:t>
      </w:r>
      <w:r>
        <w:t xml:space="preserve">The licence holder must </w:t>
      </w:r>
      <w:proofErr w:type="gramStart"/>
      <w:r>
        <w:t>make arrangements</w:t>
      </w:r>
      <w:proofErr w:type="gramEnd"/>
      <w:r>
        <w:t xml:space="preserve"> to regularly check for and remove litter and rubbish on pedestrian walkways, left by persons using the premises, for </w:t>
      </w:r>
      <w:proofErr w:type="gramStart"/>
      <w:r>
        <w:t>a distance of up</w:t>
      </w:r>
      <w:proofErr w:type="gramEnd"/>
      <w:r>
        <w:t xml:space="preserve"> to 10 metres from the boundary of the premises.  The licence holder must ensure that any tables are cleared in an efficient manner during the hours of operation.  The licence holder must ensure t</w:t>
      </w:r>
      <w:r>
        <w:rPr>
          <w:rFonts w:eastAsia="Times New Roman"/>
          <w:lang w:eastAsia="en-GB"/>
        </w:rPr>
        <w:t xml:space="preserve">he licensed area and surrounding highway is washed down at the completion of each day's usage </w:t>
      </w:r>
      <w:r>
        <w:t>using a method sufficient to remove food debris, grease and other spillages that may occur.</w:t>
      </w:r>
    </w:p>
    <w:p w14:paraId="19CCACD9" w14:textId="77777777" w:rsidR="007B54EF" w:rsidRDefault="007B54EF" w:rsidP="006C2068">
      <w:pPr>
        <w:rPr>
          <w:rFonts w:eastAsiaTheme="minorHAnsi"/>
          <w:lang w:eastAsia="en-US"/>
        </w:rPr>
      </w:pPr>
    </w:p>
    <w:p w14:paraId="5C0FB02F" w14:textId="77777777" w:rsidR="007B54EF" w:rsidRDefault="007B54EF" w:rsidP="006C2068">
      <w:pPr>
        <w:pStyle w:val="ListParagraph"/>
        <w:numPr>
          <w:ilvl w:val="0"/>
          <w:numId w:val="9"/>
        </w:numPr>
        <w:ind w:left="360"/>
        <w:rPr>
          <w:rFonts w:eastAsia="Times New Roman"/>
          <w:lang w:eastAsia="en-GB"/>
        </w:rPr>
      </w:pPr>
      <w:r>
        <w:t xml:space="preserve">The licence holder is not permitted to affix any fixtures, or make excavations of any kind, to the surface of the highway without prior written approval.  </w:t>
      </w:r>
    </w:p>
    <w:p w14:paraId="60E6F37B" w14:textId="77777777" w:rsidR="007B54EF" w:rsidRDefault="007B54EF" w:rsidP="006C2068"/>
    <w:p w14:paraId="1717B1EB" w14:textId="77777777" w:rsidR="007B54EF" w:rsidRDefault="007B54EF" w:rsidP="006C2068">
      <w:pPr>
        <w:pStyle w:val="ListParagraph"/>
        <w:numPr>
          <w:ilvl w:val="0"/>
          <w:numId w:val="9"/>
        </w:numPr>
        <w:ind w:left="360"/>
      </w:pPr>
      <w:r>
        <w:t xml:space="preserve">The Licensee of premises not licensed under the Licensing Act 2003 or any modification or re-enactment thereof, must not allow the consumption of alcoholic liquor within the licensed area. </w:t>
      </w:r>
    </w:p>
    <w:p w14:paraId="03113DFF" w14:textId="77777777" w:rsidR="007B54EF" w:rsidRDefault="007B54EF" w:rsidP="006C2068"/>
    <w:p w14:paraId="478406E6" w14:textId="77777777" w:rsidR="007B54EF" w:rsidRDefault="007B54EF" w:rsidP="006C2068">
      <w:pPr>
        <w:pStyle w:val="ListParagraph"/>
        <w:numPr>
          <w:ilvl w:val="0"/>
          <w:numId w:val="9"/>
        </w:numPr>
        <w:ind w:left="360"/>
      </w:pPr>
      <w:r>
        <w:t>The Licensee of premises licensed under the Licensing Act 2003 or any modification or re-enactment thereof, must not allow the consumption of alcohol within the premises outside the hours in force for the premises itself.</w:t>
      </w:r>
    </w:p>
    <w:p w14:paraId="2F09864A" w14:textId="77777777" w:rsidR="007B54EF" w:rsidRDefault="007B54EF" w:rsidP="006C2068"/>
    <w:p w14:paraId="1B71A279" w14:textId="77777777" w:rsidR="007B54EF" w:rsidRDefault="007B54EF" w:rsidP="006C2068">
      <w:pPr>
        <w:pStyle w:val="ListParagraph"/>
        <w:numPr>
          <w:ilvl w:val="0"/>
          <w:numId w:val="9"/>
        </w:numPr>
        <w:ind w:left="360"/>
      </w:pPr>
      <w:r>
        <w:t>The licence holder must remove any tables, chairs and other furniture immediately at the end of the licence period or on revocation of the licence.</w:t>
      </w:r>
    </w:p>
    <w:p w14:paraId="7172AA69" w14:textId="77777777" w:rsidR="007B54EF" w:rsidRDefault="007B54EF" w:rsidP="006C2068">
      <w:pPr>
        <w:rPr>
          <w:b/>
          <w:bCs/>
        </w:rPr>
      </w:pPr>
    </w:p>
    <w:p w14:paraId="57006FA9" w14:textId="77777777" w:rsidR="007B54EF" w:rsidRDefault="007B54EF" w:rsidP="006C2068">
      <w:pPr>
        <w:rPr>
          <w:b/>
          <w:bCs/>
        </w:rPr>
      </w:pPr>
      <w:r>
        <w:rPr>
          <w:b/>
          <w:bCs/>
        </w:rPr>
        <w:t>NOTES</w:t>
      </w:r>
    </w:p>
    <w:p w14:paraId="46C8876D" w14:textId="77777777" w:rsidR="007B54EF" w:rsidRDefault="007B54EF" w:rsidP="006C2068">
      <w:r>
        <w:t>These conditions should be read in conjunction with any mandatory national conditions concerning pavement licences, if the premises is licenced under the Licensing Act 2003, any relevant conditions attached to the premises licence, the latest government requirements concerning coronavirus and social distancing and any other relevant requirement of the Business and Planning Act 2020.</w:t>
      </w:r>
    </w:p>
    <w:p w14:paraId="1600430E" w14:textId="77777777" w:rsidR="007B54EF" w:rsidRDefault="007B54EF" w:rsidP="006C2068"/>
    <w:p w14:paraId="23193D7D" w14:textId="77777777" w:rsidR="007B54EF" w:rsidRDefault="007B54EF" w:rsidP="006C2068">
      <w:pPr>
        <w:rPr>
          <w:b/>
          <w:bCs/>
        </w:rPr>
      </w:pPr>
      <w:r>
        <w:t xml:space="preserve">The licence holder is responsible for ensuring that the conditions of the licence and any other necessary permissions and regulations are adhered to.  The Licence holder is to use the highway solely for the purpose of the licence in line with the provisions of this licence and for no other purpose whatsoever. </w:t>
      </w:r>
    </w:p>
    <w:p w14:paraId="1A58B03D" w14:textId="77777777" w:rsidR="007B54EF" w:rsidRDefault="007B54EF" w:rsidP="006C2068"/>
    <w:p w14:paraId="576DE71B" w14:textId="77777777" w:rsidR="007B54EF" w:rsidRDefault="007B54EF" w:rsidP="006C2068">
      <w:r>
        <w:t xml:space="preserve">Test Valley Borough Council reserves the right to revoke this licence at any time if any of the above conditions are not complied with. </w:t>
      </w:r>
    </w:p>
    <w:p w14:paraId="40D56C16" w14:textId="77777777" w:rsidR="007B54EF" w:rsidRDefault="007B54EF" w:rsidP="006C2068">
      <w:r>
        <w:br w:type="page"/>
      </w:r>
    </w:p>
    <w:p w14:paraId="083F52AA" w14:textId="632C0AA9" w:rsidR="007B54EF" w:rsidRDefault="007B54EF" w:rsidP="006C2068">
      <w:pPr>
        <w:rPr>
          <w:b/>
        </w:rPr>
      </w:pPr>
      <w:r>
        <w:rPr>
          <w:b/>
        </w:rPr>
        <w:lastRenderedPageBreak/>
        <w:t>Appendix 2</w:t>
      </w:r>
    </w:p>
    <w:p w14:paraId="67BC592A" w14:textId="77777777" w:rsidR="007B54EF" w:rsidRPr="00A246FA" w:rsidRDefault="007B54EF" w:rsidP="006C2068">
      <w:pPr>
        <w:rPr>
          <w:rFonts w:eastAsiaTheme="minorHAnsi" w:cs="Arial"/>
          <w:b/>
          <w:bCs/>
          <w:lang w:eastAsia="en-US"/>
        </w:rPr>
      </w:pPr>
      <w:r>
        <w:rPr>
          <w:rFonts w:eastAsiaTheme="minorHAnsi" w:cs="Arial"/>
          <w:b/>
          <w:bCs/>
          <w:lang w:eastAsia="en-US"/>
        </w:rPr>
        <w:t xml:space="preserve">Pavement Licence - </w:t>
      </w:r>
      <w:r w:rsidRPr="00A246FA">
        <w:rPr>
          <w:rFonts w:eastAsiaTheme="minorHAnsi" w:cs="Arial"/>
          <w:b/>
          <w:bCs/>
          <w:lang w:eastAsia="en-US"/>
        </w:rPr>
        <w:t>National Conditions</w:t>
      </w:r>
    </w:p>
    <w:p w14:paraId="3FB58988" w14:textId="77777777" w:rsidR="007B54EF" w:rsidRPr="00A246FA" w:rsidRDefault="007B54EF" w:rsidP="006C2068">
      <w:pPr>
        <w:rPr>
          <w:rFonts w:eastAsiaTheme="minorHAnsi" w:cs="Arial"/>
          <w:lang w:eastAsia="en-US"/>
        </w:rPr>
      </w:pPr>
    </w:p>
    <w:p w14:paraId="3C203CF2" w14:textId="77777777" w:rsidR="0042526E" w:rsidRDefault="0042526E" w:rsidP="0042526E">
      <w:pPr>
        <w:rPr>
          <w:rFonts w:cs="Arial"/>
          <w:b/>
          <w:bCs/>
        </w:rPr>
      </w:pPr>
      <w:r w:rsidRPr="000E4221">
        <w:rPr>
          <w:rFonts w:cs="Arial"/>
          <w:b/>
          <w:bCs/>
        </w:rPr>
        <w:t>No-obstruction condition</w:t>
      </w:r>
    </w:p>
    <w:p w14:paraId="3BCEE0EA" w14:textId="77777777" w:rsidR="0042526E" w:rsidRDefault="0042526E" w:rsidP="0042526E">
      <w:pPr>
        <w:rPr>
          <w:rFonts w:cs="Arial"/>
        </w:rPr>
      </w:pPr>
      <w:r w:rsidRPr="000E4221">
        <w:rPr>
          <w:rFonts w:cs="Arial"/>
        </w:rPr>
        <w:t>Section 5(5)</w:t>
      </w:r>
    </w:p>
    <w:p w14:paraId="0A97320D" w14:textId="77777777" w:rsidR="0042526E" w:rsidRDefault="0042526E" w:rsidP="0042526E">
      <w:pPr>
        <w:rPr>
          <w:rFonts w:cs="Arial"/>
        </w:rPr>
      </w:pPr>
      <w:r w:rsidRPr="000E4221">
        <w:rPr>
          <w:rFonts w:cs="Arial"/>
        </w:rPr>
        <w:t>A “no-obstruction condition” is a condition that anything done by the licence holder pursuant to the licence, or any activity of other persons which is enabled by the licence, must not have an effect specified in section 3(6):</w:t>
      </w:r>
    </w:p>
    <w:p w14:paraId="6567C34F" w14:textId="77777777" w:rsidR="0042526E" w:rsidRDefault="0042526E" w:rsidP="0042526E">
      <w:pPr>
        <w:rPr>
          <w:rFonts w:cs="Arial"/>
        </w:rPr>
      </w:pPr>
      <w:r w:rsidRPr="000E4221">
        <w:rPr>
          <w:rFonts w:cs="Arial"/>
        </w:rPr>
        <w:t>Section 3(6)</w:t>
      </w:r>
    </w:p>
    <w:p w14:paraId="58BC9C71" w14:textId="77777777" w:rsidR="0042526E" w:rsidRDefault="0042526E" w:rsidP="0042526E">
      <w:pPr>
        <w:rPr>
          <w:rFonts w:cs="Arial"/>
        </w:rPr>
      </w:pPr>
      <w:r w:rsidRPr="000E4221">
        <w:rPr>
          <w:rFonts w:cs="Arial"/>
        </w:rPr>
        <w:t>The effects referred to in subsection (5) are</w:t>
      </w:r>
    </w:p>
    <w:p w14:paraId="56CA86B9" w14:textId="77777777" w:rsidR="0042526E" w:rsidRDefault="0042526E" w:rsidP="0042526E">
      <w:pPr>
        <w:rPr>
          <w:rFonts w:cs="Arial"/>
        </w:rPr>
      </w:pPr>
      <w:r w:rsidRPr="000E4221">
        <w:rPr>
          <w:rFonts w:cs="Arial"/>
        </w:rPr>
        <w:t>a) preventing traffic, other than vehicular traffic, from—</w:t>
      </w:r>
    </w:p>
    <w:p w14:paraId="329F41B9" w14:textId="77777777" w:rsidR="0042526E" w:rsidRDefault="0042526E" w:rsidP="0042526E">
      <w:pPr>
        <w:ind w:firstLine="720"/>
        <w:rPr>
          <w:rFonts w:cs="Arial"/>
        </w:rPr>
      </w:pPr>
      <w:proofErr w:type="spellStart"/>
      <w:r w:rsidRPr="000E4221">
        <w:rPr>
          <w:rFonts w:cs="Arial"/>
        </w:rPr>
        <w:t>i</w:t>
      </w:r>
      <w:proofErr w:type="spellEnd"/>
      <w:r w:rsidRPr="000E4221">
        <w:rPr>
          <w:rFonts w:cs="Arial"/>
        </w:rPr>
        <w:t>. entering the relevant highway at a place where such traffic could otherwise enter it (ignoring any pedestrian planning order or traffic order made in relation to the highway),</w:t>
      </w:r>
    </w:p>
    <w:p w14:paraId="22A919DF" w14:textId="77777777" w:rsidR="0042526E" w:rsidRDefault="0042526E" w:rsidP="0042526E">
      <w:pPr>
        <w:ind w:firstLine="720"/>
        <w:rPr>
          <w:rFonts w:cs="Arial"/>
        </w:rPr>
      </w:pPr>
      <w:r w:rsidRPr="000E4221">
        <w:rPr>
          <w:rFonts w:cs="Arial"/>
        </w:rPr>
        <w:t>ii. passing along the relevant highway, or</w:t>
      </w:r>
    </w:p>
    <w:p w14:paraId="4C523450" w14:textId="77777777" w:rsidR="0042526E" w:rsidRDefault="0042526E" w:rsidP="0042526E">
      <w:pPr>
        <w:ind w:firstLine="720"/>
        <w:rPr>
          <w:rFonts w:cs="Arial"/>
        </w:rPr>
      </w:pPr>
      <w:r w:rsidRPr="000E4221">
        <w:rPr>
          <w:rFonts w:cs="Arial"/>
        </w:rPr>
        <w:t>iii. having normal access to premises adjoining the relevant highway,</w:t>
      </w:r>
    </w:p>
    <w:p w14:paraId="08ADB2AA" w14:textId="77777777" w:rsidR="0042526E" w:rsidRDefault="0042526E" w:rsidP="0042526E">
      <w:pPr>
        <w:rPr>
          <w:rFonts w:cs="Arial"/>
        </w:rPr>
      </w:pPr>
      <w:r w:rsidRPr="000E4221">
        <w:rPr>
          <w:rFonts w:cs="Arial"/>
        </w:rPr>
        <w:t xml:space="preserve">b) preventing any use of vehicles which is permitted by a pedestrian planning </w:t>
      </w:r>
      <w:proofErr w:type="gramStart"/>
      <w:r w:rsidRPr="000E4221">
        <w:rPr>
          <w:rFonts w:cs="Arial"/>
        </w:rPr>
        <w:t>order</w:t>
      </w:r>
      <w:proofErr w:type="gramEnd"/>
      <w:r w:rsidRPr="000E4221">
        <w:rPr>
          <w:rFonts w:cs="Arial"/>
        </w:rPr>
        <w:t xml:space="preserve"> or which is not prohibited by a traffic order,</w:t>
      </w:r>
    </w:p>
    <w:p w14:paraId="0AABCFD2" w14:textId="77777777" w:rsidR="0042526E" w:rsidRDefault="0042526E" w:rsidP="0042526E">
      <w:pPr>
        <w:rPr>
          <w:rFonts w:cs="Arial"/>
        </w:rPr>
      </w:pPr>
      <w:r w:rsidRPr="000E4221">
        <w:rPr>
          <w:rFonts w:cs="Arial"/>
        </w:rPr>
        <w:t>c) preventing statutory undertakers having access to any apparatus of theirs under, in, on or over the highway, or</w:t>
      </w:r>
    </w:p>
    <w:p w14:paraId="7C505745" w14:textId="77777777" w:rsidR="0042526E" w:rsidRDefault="0042526E" w:rsidP="0042526E">
      <w:pPr>
        <w:rPr>
          <w:rFonts w:cs="Arial"/>
        </w:rPr>
      </w:pPr>
      <w:r w:rsidRPr="000E4221">
        <w:rPr>
          <w:rFonts w:cs="Arial"/>
        </w:rPr>
        <w:t>d) preventing the operator of an electronic communications code network having access to any electronic communications apparatus kept installed for the purposes of that network under, in, on or over the highway.</w:t>
      </w:r>
    </w:p>
    <w:p w14:paraId="3130E3CF" w14:textId="77777777" w:rsidR="0042526E" w:rsidRDefault="0042526E" w:rsidP="0042526E">
      <w:pPr>
        <w:rPr>
          <w:rFonts w:cs="Arial"/>
        </w:rPr>
      </w:pPr>
      <w:r>
        <w:rPr>
          <w:rFonts w:cs="Arial"/>
        </w:rPr>
        <w:t>Section 3(7)</w:t>
      </w:r>
    </w:p>
    <w:p w14:paraId="3BA04BD9" w14:textId="77777777" w:rsidR="0042526E" w:rsidRPr="000E4221" w:rsidRDefault="0042526E" w:rsidP="0042526E">
      <w:pPr>
        <w:rPr>
          <w:rFonts w:cs="Arial"/>
        </w:rPr>
      </w:pPr>
      <w:r w:rsidRPr="000E4221">
        <w:rPr>
          <w:rFonts w:cs="Arial"/>
        </w:rPr>
        <w:t xml:space="preserve">Where a local authority is considering for any purpose of this group of sections whether furniture put on a relevant highway by a licence-holder pursuant to a pavement licence has or would have the effect referred to in subsection (6)(a), the authority must have regard </w:t>
      </w:r>
      <w:proofErr w:type="gramStart"/>
      <w:r w:rsidRPr="000E4221">
        <w:rPr>
          <w:rFonts w:cs="Arial"/>
        </w:rPr>
        <w:t>in particular to</w:t>
      </w:r>
      <w:proofErr w:type="gramEnd"/>
      <w:r w:rsidRPr="000E4221">
        <w:rPr>
          <w:rFonts w:cs="Arial"/>
        </w:rPr>
        <w:t>—</w:t>
      </w:r>
    </w:p>
    <w:p w14:paraId="0F8AA0E5" w14:textId="77777777" w:rsidR="0042526E" w:rsidRPr="000E4221" w:rsidRDefault="0042526E" w:rsidP="0042526E">
      <w:pPr>
        <w:rPr>
          <w:rFonts w:cs="Arial"/>
        </w:rPr>
      </w:pPr>
      <w:r w:rsidRPr="000E4221">
        <w:rPr>
          <w:rFonts w:cs="Arial"/>
        </w:rPr>
        <w:t>(a)the needs of disabled people, and</w:t>
      </w:r>
    </w:p>
    <w:p w14:paraId="544B3B98" w14:textId="77777777" w:rsidR="0042526E" w:rsidRPr="000E4221" w:rsidRDefault="0042526E" w:rsidP="0042526E">
      <w:pPr>
        <w:rPr>
          <w:rFonts w:cs="Arial"/>
        </w:rPr>
      </w:pPr>
      <w:r w:rsidRPr="000E4221">
        <w:rPr>
          <w:rFonts w:cs="Arial"/>
        </w:rPr>
        <w:t>(b)the recommended distances required for access by disabled people as set out in guidance issued by the Secretary of State.</w:t>
      </w:r>
    </w:p>
    <w:p w14:paraId="653A1E38" w14:textId="77777777" w:rsidR="0042526E" w:rsidRDefault="0042526E" w:rsidP="0042526E">
      <w:pPr>
        <w:rPr>
          <w:rFonts w:cs="Arial"/>
          <w:b/>
          <w:bCs/>
        </w:rPr>
      </w:pPr>
    </w:p>
    <w:p w14:paraId="01A628AF" w14:textId="77777777" w:rsidR="0042526E" w:rsidRDefault="0042526E" w:rsidP="0042526E">
      <w:pPr>
        <w:rPr>
          <w:rFonts w:cs="Arial"/>
          <w:b/>
          <w:bCs/>
        </w:rPr>
      </w:pPr>
      <w:r w:rsidRPr="000E4221">
        <w:rPr>
          <w:rFonts w:cs="Arial"/>
          <w:b/>
          <w:bCs/>
        </w:rPr>
        <w:t>Smoke-free seating condition:</w:t>
      </w:r>
    </w:p>
    <w:p w14:paraId="5E7368FC" w14:textId="77777777" w:rsidR="0042526E" w:rsidRDefault="0042526E" w:rsidP="0042526E">
      <w:pPr>
        <w:rPr>
          <w:rFonts w:cs="Arial"/>
        </w:rPr>
      </w:pPr>
      <w:r w:rsidRPr="000E4221">
        <w:rPr>
          <w:rFonts w:cs="Arial"/>
        </w:rPr>
        <w:t>Section 5(6)</w:t>
      </w:r>
    </w:p>
    <w:p w14:paraId="0C8F7A38" w14:textId="77777777" w:rsidR="0042526E" w:rsidRPr="000E4221" w:rsidRDefault="0042526E" w:rsidP="0042526E">
      <w:pPr>
        <w:rPr>
          <w:rFonts w:cs="Arial"/>
        </w:rPr>
      </w:pPr>
      <w:r w:rsidRPr="000E4221">
        <w:rPr>
          <w:rFonts w:cs="Arial"/>
        </w:rPr>
        <w:t>A “smoke-free seating condition” is a condition that, where the furniture to be put on the relevant highway consists of seating for use by persons for the purpose of consuming food or drink, the licence-holder must make reasonable provision for seating where smoking is not permitted</w:t>
      </w:r>
      <w:r>
        <w:rPr>
          <w:rFonts w:cs="Arial"/>
        </w:rPr>
        <w:t>.</w:t>
      </w:r>
    </w:p>
    <w:sectPr w:rsidR="0042526E" w:rsidRPr="000E4221" w:rsidSect="00593E7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254A1"/>
    <w:multiLevelType w:val="hybridMultilevel"/>
    <w:tmpl w:val="C5A4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65AC3"/>
    <w:multiLevelType w:val="hybridMultilevel"/>
    <w:tmpl w:val="895E62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B3165B"/>
    <w:multiLevelType w:val="hybridMultilevel"/>
    <w:tmpl w:val="8E48D97A"/>
    <w:lvl w:ilvl="0" w:tplc="5C8A6C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3931664"/>
    <w:multiLevelType w:val="hybridMultilevel"/>
    <w:tmpl w:val="B25057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5713B4F"/>
    <w:multiLevelType w:val="hybridMultilevel"/>
    <w:tmpl w:val="B6AEC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9C108D2"/>
    <w:multiLevelType w:val="hybridMultilevel"/>
    <w:tmpl w:val="B546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3F580F"/>
    <w:multiLevelType w:val="hybridMultilevel"/>
    <w:tmpl w:val="21D0A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1B1D43"/>
    <w:multiLevelType w:val="hybridMultilevel"/>
    <w:tmpl w:val="8A9CF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2F25E4"/>
    <w:multiLevelType w:val="hybridMultilevel"/>
    <w:tmpl w:val="9D509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D0D225F"/>
    <w:multiLevelType w:val="hybridMultilevel"/>
    <w:tmpl w:val="C26E6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9637287">
    <w:abstractNumId w:val="0"/>
  </w:num>
  <w:num w:numId="2" w16cid:durableId="1669479617">
    <w:abstractNumId w:val="8"/>
  </w:num>
  <w:num w:numId="3" w16cid:durableId="1189373028">
    <w:abstractNumId w:val="6"/>
  </w:num>
  <w:num w:numId="4" w16cid:durableId="1801193646">
    <w:abstractNumId w:val="1"/>
  </w:num>
  <w:num w:numId="5" w16cid:durableId="1384601013">
    <w:abstractNumId w:val="7"/>
  </w:num>
  <w:num w:numId="6" w16cid:durableId="1754928972">
    <w:abstractNumId w:val="9"/>
  </w:num>
  <w:num w:numId="7" w16cid:durableId="26875807">
    <w:abstractNumId w:val="2"/>
  </w:num>
  <w:num w:numId="8" w16cid:durableId="198055133">
    <w:abstractNumId w:val="5"/>
  </w:num>
  <w:num w:numId="9" w16cid:durableId="20393146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5788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79"/>
    <w:rsid w:val="000025F2"/>
    <w:rsid w:val="00031837"/>
    <w:rsid w:val="00040E8A"/>
    <w:rsid w:val="0004368E"/>
    <w:rsid w:val="00060BBF"/>
    <w:rsid w:val="0006252F"/>
    <w:rsid w:val="0007492A"/>
    <w:rsid w:val="000755A4"/>
    <w:rsid w:val="00087FF3"/>
    <w:rsid w:val="00095FC6"/>
    <w:rsid w:val="000B1D9D"/>
    <w:rsid w:val="000E209B"/>
    <w:rsid w:val="000F4CE2"/>
    <w:rsid w:val="000F655E"/>
    <w:rsid w:val="00103047"/>
    <w:rsid w:val="00107427"/>
    <w:rsid w:val="00115314"/>
    <w:rsid w:val="00136052"/>
    <w:rsid w:val="0013735A"/>
    <w:rsid w:val="00147144"/>
    <w:rsid w:val="001569C6"/>
    <w:rsid w:val="00156B39"/>
    <w:rsid w:val="00163D87"/>
    <w:rsid w:val="00165ADB"/>
    <w:rsid w:val="00171521"/>
    <w:rsid w:val="0017258E"/>
    <w:rsid w:val="00177576"/>
    <w:rsid w:val="001802BB"/>
    <w:rsid w:val="00196F1E"/>
    <w:rsid w:val="001A1EDA"/>
    <w:rsid w:val="001B464C"/>
    <w:rsid w:val="001C60DC"/>
    <w:rsid w:val="001C668B"/>
    <w:rsid w:val="001D7E30"/>
    <w:rsid w:val="001F1158"/>
    <w:rsid w:val="001F443C"/>
    <w:rsid w:val="001F5BA7"/>
    <w:rsid w:val="00204340"/>
    <w:rsid w:val="002049FF"/>
    <w:rsid w:val="002120EE"/>
    <w:rsid w:val="0022130C"/>
    <w:rsid w:val="00226A5B"/>
    <w:rsid w:val="00230DEA"/>
    <w:rsid w:val="002311E7"/>
    <w:rsid w:val="002324C1"/>
    <w:rsid w:val="00240FEF"/>
    <w:rsid w:val="002423A3"/>
    <w:rsid w:val="00256048"/>
    <w:rsid w:val="00264C4B"/>
    <w:rsid w:val="00270710"/>
    <w:rsid w:val="00270C76"/>
    <w:rsid w:val="002742BF"/>
    <w:rsid w:val="00284624"/>
    <w:rsid w:val="002B367B"/>
    <w:rsid w:val="002B6DDD"/>
    <w:rsid w:val="002D4609"/>
    <w:rsid w:val="002D7586"/>
    <w:rsid w:val="002D7865"/>
    <w:rsid w:val="002E53E1"/>
    <w:rsid w:val="003130EC"/>
    <w:rsid w:val="003137B9"/>
    <w:rsid w:val="003251DF"/>
    <w:rsid w:val="00332245"/>
    <w:rsid w:val="00332A4E"/>
    <w:rsid w:val="00334AFC"/>
    <w:rsid w:val="00340A69"/>
    <w:rsid w:val="00342B6F"/>
    <w:rsid w:val="00343F1E"/>
    <w:rsid w:val="003568A2"/>
    <w:rsid w:val="00357C3C"/>
    <w:rsid w:val="00362AC8"/>
    <w:rsid w:val="0037330D"/>
    <w:rsid w:val="0038330D"/>
    <w:rsid w:val="003875C8"/>
    <w:rsid w:val="00391DCC"/>
    <w:rsid w:val="003921B3"/>
    <w:rsid w:val="003A0C10"/>
    <w:rsid w:val="003A138B"/>
    <w:rsid w:val="003A3683"/>
    <w:rsid w:val="003A4A40"/>
    <w:rsid w:val="003A7817"/>
    <w:rsid w:val="003C0452"/>
    <w:rsid w:val="003C17F2"/>
    <w:rsid w:val="003C5A7A"/>
    <w:rsid w:val="003D11C7"/>
    <w:rsid w:val="003D68B3"/>
    <w:rsid w:val="003E53FE"/>
    <w:rsid w:val="003E7407"/>
    <w:rsid w:val="003F23F2"/>
    <w:rsid w:val="003F6BD0"/>
    <w:rsid w:val="00420C71"/>
    <w:rsid w:val="0042526E"/>
    <w:rsid w:val="00425A61"/>
    <w:rsid w:val="004440CA"/>
    <w:rsid w:val="00466538"/>
    <w:rsid w:val="00472391"/>
    <w:rsid w:val="00474850"/>
    <w:rsid w:val="00474AA5"/>
    <w:rsid w:val="00475DE0"/>
    <w:rsid w:val="00494DA9"/>
    <w:rsid w:val="004A13D9"/>
    <w:rsid w:val="004A6B77"/>
    <w:rsid w:val="004A7C81"/>
    <w:rsid w:val="004B5298"/>
    <w:rsid w:val="004B68D0"/>
    <w:rsid w:val="004B7235"/>
    <w:rsid w:val="004C4EDD"/>
    <w:rsid w:val="004D2768"/>
    <w:rsid w:val="004E577F"/>
    <w:rsid w:val="004E78E4"/>
    <w:rsid w:val="004F72A6"/>
    <w:rsid w:val="004F7447"/>
    <w:rsid w:val="00502BD6"/>
    <w:rsid w:val="0051395A"/>
    <w:rsid w:val="00525713"/>
    <w:rsid w:val="00536989"/>
    <w:rsid w:val="00544085"/>
    <w:rsid w:val="00550F7B"/>
    <w:rsid w:val="00556C49"/>
    <w:rsid w:val="0056635D"/>
    <w:rsid w:val="00573709"/>
    <w:rsid w:val="00577784"/>
    <w:rsid w:val="00581AF6"/>
    <w:rsid w:val="00584A16"/>
    <w:rsid w:val="00593E79"/>
    <w:rsid w:val="00595BC2"/>
    <w:rsid w:val="005A61A6"/>
    <w:rsid w:val="005A7E90"/>
    <w:rsid w:val="005C4822"/>
    <w:rsid w:val="005D305E"/>
    <w:rsid w:val="005E6ADE"/>
    <w:rsid w:val="00621D53"/>
    <w:rsid w:val="00642458"/>
    <w:rsid w:val="0064325B"/>
    <w:rsid w:val="0068094C"/>
    <w:rsid w:val="00681BF2"/>
    <w:rsid w:val="00690DD8"/>
    <w:rsid w:val="00694182"/>
    <w:rsid w:val="006A4A64"/>
    <w:rsid w:val="006A6357"/>
    <w:rsid w:val="006C2068"/>
    <w:rsid w:val="006C305D"/>
    <w:rsid w:val="006C3837"/>
    <w:rsid w:val="006C62FA"/>
    <w:rsid w:val="006C765F"/>
    <w:rsid w:val="006D4EFD"/>
    <w:rsid w:val="006D6C31"/>
    <w:rsid w:val="006F37AE"/>
    <w:rsid w:val="0072278D"/>
    <w:rsid w:val="0072656B"/>
    <w:rsid w:val="007500BC"/>
    <w:rsid w:val="00755E40"/>
    <w:rsid w:val="00763975"/>
    <w:rsid w:val="007672EB"/>
    <w:rsid w:val="00771CE5"/>
    <w:rsid w:val="00782366"/>
    <w:rsid w:val="00787756"/>
    <w:rsid w:val="00791D40"/>
    <w:rsid w:val="00795CCE"/>
    <w:rsid w:val="007A0A48"/>
    <w:rsid w:val="007A4567"/>
    <w:rsid w:val="007A7877"/>
    <w:rsid w:val="007B3AB6"/>
    <w:rsid w:val="007B54EF"/>
    <w:rsid w:val="007E5C35"/>
    <w:rsid w:val="007E6C87"/>
    <w:rsid w:val="007F4ABA"/>
    <w:rsid w:val="00802786"/>
    <w:rsid w:val="00805E24"/>
    <w:rsid w:val="008129C4"/>
    <w:rsid w:val="00813993"/>
    <w:rsid w:val="00830A63"/>
    <w:rsid w:val="008337E7"/>
    <w:rsid w:val="00833E95"/>
    <w:rsid w:val="00846310"/>
    <w:rsid w:val="00854CC7"/>
    <w:rsid w:val="00875DAB"/>
    <w:rsid w:val="00877985"/>
    <w:rsid w:val="00881739"/>
    <w:rsid w:val="00886CC5"/>
    <w:rsid w:val="008A4233"/>
    <w:rsid w:val="008B1E04"/>
    <w:rsid w:val="008C7F10"/>
    <w:rsid w:val="008D32E4"/>
    <w:rsid w:val="008E420E"/>
    <w:rsid w:val="008F1E4C"/>
    <w:rsid w:val="008F2104"/>
    <w:rsid w:val="008F4193"/>
    <w:rsid w:val="008F6DC6"/>
    <w:rsid w:val="00910C52"/>
    <w:rsid w:val="00967FD8"/>
    <w:rsid w:val="00971564"/>
    <w:rsid w:val="00976DC4"/>
    <w:rsid w:val="00977058"/>
    <w:rsid w:val="009800B1"/>
    <w:rsid w:val="00980B91"/>
    <w:rsid w:val="009B46F8"/>
    <w:rsid w:val="009C1203"/>
    <w:rsid w:val="009C1B96"/>
    <w:rsid w:val="009C391A"/>
    <w:rsid w:val="009E4A23"/>
    <w:rsid w:val="00A04DC9"/>
    <w:rsid w:val="00A15FC8"/>
    <w:rsid w:val="00A201A9"/>
    <w:rsid w:val="00A2020D"/>
    <w:rsid w:val="00A218C9"/>
    <w:rsid w:val="00A273B0"/>
    <w:rsid w:val="00A53C31"/>
    <w:rsid w:val="00A57105"/>
    <w:rsid w:val="00A625E0"/>
    <w:rsid w:val="00A6399F"/>
    <w:rsid w:val="00A6529C"/>
    <w:rsid w:val="00A7235C"/>
    <w:rsid w:val="00A75EE3"/>
    <w:rsid w:val="00A77AFB"/>
    <w:rsid w:val="00A77E61"/>
    <w:rsid w:val="00A81F30"/>
    <w:rsid w:val="00A85CFB"/>
    <w:rsid w:val="00A87E98"/>
    <w:rsid w:val="00A93EC0"/>
    <w:rsid w:val="00A9496A"/>
    <w:rsid w:val="00A9579E"/>
    <w:rsid w:val="00AA03BF"/>
    <w:rsid w:val="00AC7D01"/>
    <w:rsid w:val="00AD6DA8"/>
    <w:rsid w:val="00AE7E3C"/>
    <w:rsid w:val="00AF44D7"/>
    <w:rsid w:val="00AF729E"/>
    <w:rsid w:val="00B01BEB"/>
    <w:rsid w:val="00B461F4"/>
    <w:rsid w:val="00B540F5"/>
    <w:rsid w:val="00B6633C"/>
    <w:rsid w:val="00B70629"/>
    <w:rsid w:val="00B71705"/>
    <w:rsid w:val="00B76C2C"/>
    <w:rsid w:val="00B7741A"/>
    <w:rsid w:val="00B85BFD"/>
    <w:rsid w:val="00B94ADB"/>
    <w:rsid w:val="00B9614F"/>
    <w:rsid w:val="00B96152"/>
    <w:rsid w:val="00BA7BE5"/>
    <w:rsid w:val="00BB365D"/>
    <w:rsid w:val="00BB39D3"/>
    <w:rsid w:val="00BB50EB"/>
    <w:rsid w:val="00BB5D47"/>
    <w:rsid w:val="00BC7FF1"/>
    <w:rsid w:val="00C03795"/>
    <w:rsid w:val="00C16296"/>
    <w:rsid w:val="00C33185"/>
    <w:rsid w:val="00C41F0D"/>
    <w:rsid w:val="00C55F28"/>
    <w:rsid w:val="00C614F9"/>
    <w:rsid w:val="00C77002"/>
    <w:rsid w:val="00C779E4"/>
    <w:rsid w:val="00C87591"/>
    <w:rsid w:val="00C91C34"/>
    <w:rsid w:val="00C93C85"/>
    <w:rsid w:val="00C96D9A"/>
    <w:rsid w:val="00CA5689"/>
    <w:rsid w:val="00CA6F36"/>
    <w:rsid w:val="00CB1803"/>
    <w:rsid w:val="00CB2FE5"/>
    <w:rsid w:val="00CB3AA3"/>
    <w:rsid w:val="00CB4176"/>
    <w:rsid w:val="00CC2A84"/>
    <w:rsid w:val="00CC4D4C"/>
    <w:rsid w:val="00CC7DE1"/>
    <w:rsid w:val="00CD43A4"/>
    <w:rsid w:val="00CD4B2A"/>
    <w:rsid w:val="00CE32D7"/>
    <w:rsid w:val="00CE4B35"/>
    <w:rsid w:val="00CF389F"/>
    <w:rsid w:val="00D137EE"/>
    <w:rsid w:val="00D14C24"/>
    <w:rsid w:val="00D26532"/>
    <w:rsid w:val="00D33B88"/>
    <w:rsid w:val="00D40034"/>
    <w:rsid w:val="00D45CA3"/>
    <w:rsid w:val="00D5774B"/>
    <w:rsid w:val="00D65CC4"/>
    <w:rsid w:val="00D76874"/>
    <w:rsid w:val="00D80E8C"/>
    <w:rsid w:val="00D874CD"/>
    <w:rsid w:val="00D915CF"/>
    <w:rsid w:val="00D91C2B"/>
    <w:rsid w:val="00D92D8E"/>
    <w:rsid w:val="00D952D9"/>
    <w:rsid w:val="00DA00D6"/>
    <w:rsid w:val="00DA39A6"/>
    <w:rsid w:val="00DB089A"/>
    <w:rsid w:val="00DB0BE8"/>
    <w:rsid w:val="00DC68FF"/>
    <w:rsid w:val="00DE0005"/>
    <w:rsid w:val="00DE077D"/>
    <w:rsid w:val="00DE1B4F"/>
    <w:rsid w:val="00DF084E"/>
    <w:rsid w:val="00E0520B"/>
    <w:rsid w:val="00E13D95"/>
    <w:rsid w:val="00E14B6F"/>
    <w:rsid w:val="00E14E71"/>
    <w:rsid w:val="00E16776"/>
    <w:rsid w:val="00E30185"/>
    <w:rsid w:val="00E36608"/>
    <w:rsid w:val="00E4045A"/>
    <w:rsid w:val="00E5573F"/>
    <w:rsid w:val="00E64130"/>
    <w:rsid w:val="00E67027"/>
    <w:rsid w:val="00EA1CC0"/>
    <w:rsid w:val="00EB5B42"/>
    <w:rsid w:val="00EC3855"/>
    <w:rsid w:val="00EE2B6A"/>
    <w:rsid w:val="00F11F25"/>
    <w:rsid w:val="00F21D2D"/>
    <w:rsid w:val="00F22A01"/>
    <w:rsid w:val="00F44381"/>
    <w:rsid w:val="00F45B3B"/>
    <w:rsid w:val="00F47A28"/>
    <w:rsid w:val="00F5025A"/>
    <w:rsid w:val="00F52379"/>
    <w:rsid w:val="00F54ED8"/>
    <w:rsid w:val="00F56DD4"/>
    <w:rsid w:val="00F602C3"/>
    <w:rsid w:val="00F7481E"/>
    <w:rsid w:val="00F75B89"/>
    <w:rsid w:val="00F87196"/>
    <w:rsid w:val="00F92FE7"/>
    <w:rsid w:val="00F9357A"/>
    <w:rsid w:val="00F942DE"/>
    <w:rsid w:val="00FA4882"/>
    <w:rsid w:val="00FB3995"/>
    <w:rsid w:val="00FB670C"/>
    <w:rsid w:val="00FC3C48"/>
    <w:rsid w:val="00FC430A"/>
    <w:rsid w:val="00FC4FEF"/>
    <w:rsid w:val="00FC63B1"/>
    <w:rsid w:val="00FD1409"/>
    <w:rsid w:val="00FD249B"/>
    <w:rsid w:val="00FD260C"/>
    <w:rsid w:val="00FF4265"/>
    <w:rsid w:val="00FF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B8EC8"/>
  <w15:docId w15:val="{B2E0C15B-93C0-4ABB-BD88-9D47A96D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67B"/>
    <w:pPr>
      <w:ind w:left="720"/>
      <w:contextualSpacing/>
    </w:pPr>
    <w:rPr>
      <w:rFonts w:eastAsiaTheme="minorHAnsi" w:cs="Arial"/>
      <w:lang w:eastAsia="en-US"/>
    </w:rPr>
  </w:style>
  <w:style w:type="character" w:styleId="Hyperlink">
    <w:name w:val="Hyperlink"/>
    <w:basedOn w:val="DefaultParagraphFont"/>
    <w:uiPriority w:val="99"/>
    <w:unhideWhenUsed/>
    <w:rsid w:val="002B367B"/>
    <w:rPr>
      <w:color w:val="0000FF"/>
      <w:u w:val="single"/>
    </w:rPr>
  </w:style>
  <w:style w:type="paragraph" w:styleId="Revision">
    <w:name w:val="Revision"/>
    <w:hidden/>
    <w:uiPriority w:val="99"/>
    <w:semiHidden/>
    <w:rsid w:val="00CE4B3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7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SCMH5HUPW6HE-1101099982-1513</_dlc_DocId>
    <_dlc_DocIdUrl xmlns="5340986f-a924-47c1-8f1d-58a50129c62d">
      <Url>http://testvalleyintranet/sites/LD/Licensing/_layouts/15/DocIdRedir.aspx?ID=SCMH5HUPW6HE-1101099982-1513</Url>
      <Description>SCMH5HUPW6HE-1101099982-1513</Description>
    </_dlc_DocIdUrl>
    <_dlc_DocIdPersistId xmlns="5340986f-a924-47c1-8f1d-58a50129c6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CEADBEF878CC44B9C29559EE71650B" ma:contentTypeVersion="78" ma:contentTypeDescription="Create a new document." ma:contentTypeScope="" ma:versionID="b1e426264e8171b3801cbe693c6bc00f">
  <xsd:schema xmlns:xsd="http://www.w3.org/2001/XMLSchema" xmlns:xs="http://www.w3.org/2001/XMLSchema" xmlns:p="http://schemas.microsoft.com/office/2006/metadata/properties" xmlns:ns2="5340986f-a924-47c1-8f1d-58a50129c62d" targetNamespace="http://schemas.microsoft.com/office/2006/metadata/properties" ma:root="true" ma:fieldsID="6cb1c13d69fe411cc86f7f8772a41bb2" ns2:_="">
    <xsd:import namespace="5340986f-a924-47c1-8f1d-58a50129c62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186749-E5C6-4BE0-AC32-670DCC41A8D6}">
  <ds:schemaRefs>
    <ds:schemaRef ds:uri="5340986f-a924-47c1-8f1d-58a50129c62d"/>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0F80FC9-8DC2-4196-864C-45D899C21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BCCF43-1463-42C7-B2DC-7A0206AF9951}">
  <ds:schemaRefs>
    <ds:schemaRef ds:uri="http://schemas.microsoft.com/sharepoint/v3/contenttype/forms"/>
  </ds:schemaRefs>
</ds:datastoreItem>
</file>

<file path=customXml/itemProps4.xml><?xml version="1.0" encoding="utf-8"?>
<ds:datastoreItem xmlns:ds="http://schemas.openxmlformats.org/officeDocument/2006/customXml" ds:itemID="{CA994656-9A46-4F93-A06A-F0822057D7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3387</Words>
  <Characters>17421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Michael</dc:creator>
  <cp:lastModifiedBy>White, Michael</cp:lastModifiedBy>
  <cp:revision>4</cp:revision>
  <dcterms:created xsi:type="dcterms:W3CDTF">2025-09-04T14:16:00Z</dcterms:created>
  <dcterms:modified xsi:type="dcterms:W3CDTF">2025-09-10T12:23:00Z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0x01010087CEADBEF878CC44B9C29559EE71650B</vt:lpwstr>
  </property>
  <property fmtid="{D5CDD505-2E9C-101B-9397-08002B2CF9AE}" pid="3" name="_dlc_DocIdItemGuid">
    <vt:lpwstr>fe699570-dd74-4401-b253-546b551db178</vt:lpwstr>
  </property>
  <property fmtid="{D5CDD505-2E9C-101B-9397-08002B2CF9AE}" pid="4" name="dlc_EmailFrom">
    <vt:lpwstr/>
  </property>
  <property fmtid="{D5CDD505-2E9C-101B-9397-08002B2CF9AE}" pid="5" name="dlc_EmailBCC">
    <vt:lpwstr/>
  </property>
  <property fmtid="{D5CDD505-2E9C-101B-9397-08002B2CF9AE}" pid="6" name="dlc_EmailCC">
    <vt:lpwstr/>
  </property>
  <property fmtid="{D5CDD505-2E9C-101B-9397-08002B2CF9AE}" pid="7" name="dlc_EmailSubject">
    <vt:lpwstr/>
  </property>
  <property fmtid="{D5CDD505-2E9C-101B-9397-08002B2CF9AE}" pid="8" name="dlc_EmailTo">
    <vt:lpwstr/>
  </property>
</Properties>
</file>